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D85D14" w:rsidRPr="009A675B" w:rsidRDefault="00BB20B4" w:rsidP="00BB20B4">
            <w:r>
              <w:t>Children’s Hearings Scotland</w:t>
            </w:r>
            <w:r w:rsidR="00D85D14">
              <w:t xml:space="preserve"> (</w:t>
            </w:r>
            <w:r>
              <w:t>CHS</w:t>
            </w:r>
            <w:r w:rsidR="00D85D14">
              <w:t>)</w:t>
            </w:r>
          </w:p>
        </w:tc>
        <w:tc>
          <w:tcPr>
            <w:tcW w:w="2835" w:type="dxa"/>
            <w:tcBorders>
              <w:bottom w:val="single" w:sz="4" w:space="0" w:color="auto"/>
            </w:tcBorders>
          </w:tcPr>
          <w:p w:rsidR="00E61E31" w:rsidRPr="009A675B" w:rsidRDefault="00D85D14" w:rsidP="0026669A">
            <w:pPr>
              <w:rPr>
                <w:color w:val="BFBFBF" w:themeColor="background1" w:themeShade="BF"/>
              </w:rPr>
            </w:pPr>
            <w:r>
              <w:rPr>
                <w:color w:val="BFBFBF" w:themeColor="background1" w:themeShade="BF"/>
              </w:rPr>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Default="00D85D14" w:rsidP="0026669A">
            <w:pPr>
              <w:rPr>
                <w:color w:val="BFBFBF" w:themeColor="background1" w:themeShade="BF"/>
              </w:rPr>
            </w:pPr>
            <w:r>
              <w:rPr>
                <w:color w:val="BFBFBF" w:themeColor="background1" w:themeShade="BF"/>
              </w:rPr>
              <w:t>Ed Morrison, Head of Finance &amp; Resources, SCRA</w:t>
            </w:r>
          </w:p>
          <w:p w:rsidR="009A675B" w:rsidRDefault="00D85D14" w:rsidP="00D85D14">
            <w:r>
              <w:rPr>
                <w:color w:val="BFBFBF" w:themeColor="background1" w:themeShade="BF"/>
              </w:rPr>
              <w:t>Susan Deery, Head of Human Resources, SCRA</w:t>
            </w:r>
          </w:p>
        </w:tc>
        <w:tc>
          <w:tcPr>
            <w:tcW w:w="2835" w:type="dxa"/>
            <w:tcBorders>
              <w:bottom w:val="single" w:sz="4" w:space="0" w:color="auto"/>
            </w:tcBorders>
          </w:tcPr>
          <w:p w:rsidR="00E61E31" w:rsidRDefault="00D85D14" w:rsidP="00D85D14">
            <w:pPr>
              <w:rPr>
                <w:color w:val="BFBFBF" w:themeColor="background1" w:themeShade="BF"/>
              </w:rPr>
            </w:pPr>
            <w:r>
              <w:rPr>
                <w:color w:val="BFBFBF" w:themeColor="background1" w:themeShade="BF"/>
              </w:rPr>
              <w:t>Confirm</w:t>
            </w:r>
          </w:p>
          <w:p w:rsidR="00D85D14" w:rsidRDefault="00D85D14" w:rsidP="00D85D14">
            <w:r>
              <w:rPr>
                <w:color w:val="BFBFBF" w:themeColor="background1" w:themeShade="BF"/>
              </w:rP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D85D14" w:rsidP="0026669A">
            <w:r>
              <w:rPr>
                <w:color w:val="BFBFBF" w:themeColor="background1" w:themeShade="BF"/>
              </w:rPr>
              <w:t>6</w:t>
            </w:r>
            <w:r w:rsidRPr="00D85D14">
              <w:rPr>
                <w:color w:val="BFBFBF" w:themeColor="background1" w:themeShade="BF"/>
                <w:vertAlign w:val="superscript"/>
              </w:rPr>
              <w:t>th</w:t>
            </w:r>
            <w:r>
              <w:rPr>
                <w:color w:val="BFBFBF" w:themeColor="background1" w:themeShade="BF"/>
              </w:rPr>
              <w:t xml:space="preserve"> December 2018</w:t>
            </w:r>
          </w:p>
        </w:tc>
      </w:tr>
    </w:tbl>
    <w:p w:rsidR="00513272" w:rsidRDefault="00513272"/>
    <w:p w:rsidR="00D85D14" w:rsidRDefault="00D85D14"/>
    <w:tbl>
      <w:tblPr>
        <w:tblStyle w:val="TableGrid"/>
        <w:tblW w:w="0" w:type="auto"/>
        <w:tblLook w:val="04A0" w:firstRow="1" w:lastRow="0" w:firstColumn="1" w:lastColumn="0" w:noHBand="0" w:noVBand="1"/>
      </w:tblPr>
      <w:tblGrid>
        <w:gridCol w:w="9026"/>
      </w:tblGrid>
      <w:tr w:rsidR="00E61E31" w:rsidTr="00D85D14">
        <w:tc>
          <w:tcPr>
            <w:tcW w:w="9180" w:type="dxa"/>
            <w:tcBorders>
              <w:top w:val="nil"/>
              <w:left w:val="nil"/>
              <w:bottom w:val="single" w:sz="4" w:space="0" w:color="auto"/>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792FDF">
        <w:tc>
          <w:tcPr>
            <w:tcW w:w="9180" w:type="dxa"/>
          </w:tcPr>
          <w:p w:rsidR="00E61E31" w:rsidRDefault="00BB20B4" w:rsidP="0026669A">
            <w:pPr>
              <w:rPr>
                <w:color w:val="BFBFBF" w:themeColor="background1" w:themeShade="BF"/>
              </w:rPr>
            </w:pPr>
            <w:r>
              <w:rPr>
                <w:color w:val="BFBFBF" w:themeColor="background1" w:themeShade="BF"/>
              </w:rPr>
              <w:t>CHS</w:t>
            </w:r>
            <w:r w:rsidR="007448DE">
              <w:rPr>
                <w:color w:val="BFBFBF" w:themeColor="background1" w:themeShade="BF"/>
              </w:rPr>
              <w:t xml:space="preserve"> is an Other Open Community Admission Body in the L</w:t>
            </w:r>
            <w:r>
              <w:rPr>
                <w:color w:val="BFBFBF" w:themeColor="background1" w:themeShade="BF"/>
              </w:rPr>
              <w:t>othian</w:t>
            </w:r>
            <w:r w:rsidR="00D85D14">
              <w:rPr>
                <w:color w:val="BFBFBF" w:themeColor="background1" w:themeShade="BF"/>
              </w:rPr>
              <w:t xml:space="preserve"> </w:t>
            </w:r>
            <w:r w:rsidR="007448DE">
              <w:rPr>
                <w:color w:val="BFBFBF" w:themeColor="background1" w:themeShade="BF"/>
              </w:rPr>
              <w:t>Pension Fund</w:t>
            </w:r>
            <w:r w:rsidR="00D85D14">
              <w:rPr>
                <w:color w:val="BFBFBF" w:themeColor="background1" w:themeShade="BF"/>
              </w:rPr>
              <w:t>.</w:t>
            </w:r>
          </w:p>
          <w:tbl>
            <w:tblPr>
              <w:tblW w:w="0" w:type="auto"/>
              <w:tblBorders>
                <w:top w:val="nil"/>
                <w:left w:val="nil"/>
                <w:bottom w:val="nil"/>
                <w:right w:val="nil"/>
              </w:tblBorders>
              <w:tblLook w:val="0000" w:firstRow="0" w:lastRow="0" w:firstColumn="0" w:lastColumn="0" w:noHBand="0" w:noVBand="0"/>
            </w:tblPr>
            <w:tblGrid>
              <w:gridCol w:w="222"/>
            </w:tblGrid>
            <w:tr w:rsidR="007448DE">
              <w:trPr>
                <w:trHeight w:val="93"/>
              </w:trPr>
              <w:tc>
                <w:tcPr>
                  <w:tcW w:w="0" w:type="auto"/>
                </w:tcPr>
                <w:p w:rsidR="007448DE" w:rsidRDefault="007448DE" w:rsidP="007448DE">
                  <w:pPr>
                    <w:pStyle w:val="Default"/>
                    <w:rPr>
                      <w:sz w:val="20"/>
                      <w:szCs w:val="20"/>
                    </w:rPr>
                  </w:pPr>
                </w:p>
              </w:tc>
            </w:tr>
          </w:tbl>
          <w:p w:rsidR="00D85D14" w:rsidRDefault="00D85D14" w:rsidP="0026669A">
            <w:pPr>
              <w:rPr>
                <w:color w:val="BFBFBF" w:themeColor="background1" w:themeShade="BF"/>
              </w:rPr>
            </w:pPr>
            <w:r>
              <w:rPr>
                <w:color w:val="BFBFBF" w:themeColor="background1" w:themeShade="BF"/>
              </w:rPr>
              <w:t xml:space="preserve">At March 2017 </w:t>
            </w:r>
            <w:r w:rsidR="00BB20B4">
              <w:rPr>
                <w:color w:val="BFBFBF" w:themeColor="background1" w:themeShade="BF"/>
              </w:rPr>
              <w:t>CHS</w:t>
            </w:r>
            <w:r>
              <w:rPr>
                <w:color w:val="BFBFBF" w:themeColor="background1" w:themeShade="BF"/>
              </w:rPr>
              <w:t xml:space="preserve"> had the following membership:</w:t>
            </w:r>
          </w:p>
          <w:p w:rsidR="00D85D14" w:rsidRDefault="00D85D14" w:rsidP="0026669A">
            <w:pPr>
              <w:rPr>
                <w:color w:val="BFBFBF" w:themeColor="background1" w:themeShade="BF"/>
              </w:rPr>
            </w:pPr>
            <w:r>
              <w:rPr>
                <w:color w:val="BFBFBF" w:themeColor="background1" w:themeShade="BF"/>
              </w:rPr>
              <w:t xml:space="preserve">Actives                            </w:t>
            </w:r>
            <w:r w:rsidR="00BB20B4">
              <w:rPr>
                <w:color w:val="BFBFBF" w:themeColor="background1" w:themeShade="BF"/>
              </w:rPr>
              <w:t>21</w:t>
            </w:r>
            <w:r>
              <w:rPr>
                <w:color w:val="BFBFBF" w:themeColor="background1" w:themeShade="BF"/>
              </w:rPr>
              <w:t xml:space="preserve">, average age </w:t>
            </w:r>
            <w:r w:rsidR="00BB20B4">
              <w:rPr>
                <w:color w:val="BFBFBF" w:themeColor="background1" w:themeShade="BF"/>
              </w:rPr>
              <w:t>48.1</w:t>
            </w:r>
            <w:r>
              <w:rPr>
                <w:color w:val="BFBFBF" w:themeColor="background1" w:themeShade="BF"/>
              </w:rPr>
              <w:t xml:space="preserve"> years</w:t>
            </w:r>
          </w:p>
          <w:p w:rsidR="009A675B" w:rsidRDefault="00D85D14" w:rsidP="0026669A">
            <w:pPr>
              <w:rPr>
                <w:color w:val="BFBFBF" w:themeColor="background1" w:themeShade="BF"/>
              </w:rPr>
            </w:pPr>
            <w:r>
              <w:rPr>
                <w:color w:val="BFBFBF" w:themeColor="background1" w:themeShade="BF"/>
              </w:rPr>
              <w:t xml:space="preserve">Deferred pensioners       </w:t>
            </w:r>
            <w:r w:rsidR="00BB20B4">
              <w:rPr>
                <w:color w:val="BFBFBF" w:themeColor="background1" w:themeShade="BF"/>
              </w:rPr>
              <w:t>7</w:t>
            </w:r>
            <w:r>
              <w:rPr>
                <w:color w:val="BFBFBF" w:themeColor="background1" w:themeShade="BF"/>
              </w:rPr>
              <w:t>, average age 5</w:t>
            </w:r>
            <w:r w:rsidR="00BB20B4">
              <w:rPr>
                <w:color w:val="BFBFBF" w:themeColor="background1" w:themeShade="BF"/>
              </w:rPr>
              <w:t>2.3</w:t>
            </w:r>
            <w:r>
              <w:rPr>
                <w:color w:val="BFBFBF" w:themeColor="background1" w:themeShade="BF"/>
              </w:rPr>
              <w:t xml:space="preserve"> years</w:t>
            </w:r>
          </w:p>
          <w:p w:rsidR="00D85D14" w:rsidRDefault="00D85D14" w:rsidP="0026669A">
            <w:pPr>
              <w:rPr>
                <w:color w:val="BFBFBF" w:themeColor="background1" w:themeShade="BF"/>
              </w:rPr>
            </w:pPr>
            <w:r>
              <w:rPr>
                <w:color w:val="BFBFBF" w:themeColor="background1" w:themeShade="BF"/>
              </w:rPr>
              <w:t xml:space="preserve">Pensioners                      </w:t>
            </w:r>
            <w:r w:rsidR="00BB20B4">
              <w:rPr>
                <w:color w:val="BFBFBF" w:themeColor="background1" w:themeShade="BF"/>
              </w:rPr>
              <w:t>-</w:t>
            </w:r>
          </w:p>
          <w:p w:rsidR="008367CC" w:rsidRDefault="008367CC" w:rsidP="0026669A">
            <w:pPr>
              <w:rPr>
                <w:color w:val="BFBFBF" w:themeColor="background1" w:themeShade="BF"/>
              </w:rPr>
            </w:pPr>
          </w:p>
          <w:p w:rsidR="008367CC" w:rsidRDefault="00BB20B4" w:rsidP="0026669A">
            <w:pPr>
              <w:rPr>
                <w:color w:val="BFBFBF" w:themeColor="background1" w:themeShade="BF"/>
              </w:rPr>
            </w:pPr>
            <w:r>
              <w:rPr>
                <w:color w:val="BFBFBF" w:themeColor="background1" w:themeShade="BF"/>
              </w:rPr>
              <w:t>CHS’</w:t>
            </w:r>
            <w:r w:rsidR="008367CC">
              <w:rPr>
                <w:color w:val="BFBFBF" w:themeColor="background1" w:themeShade="BF"/>
              </w:rPr>
              <w:t xml:space="preserve">s funding level at 31/3/17 was </w:t>
            </w:r>
            <w:r>
              <w:rPr>
                <w:color w:val="BFBFBF" w:themeColor="background1" w:themeShade="BF"/>
              </w:rPr>
              <w:t>68</w:t>
            </w:r>
            <w:r w:rsidR="008367CC">
              <w:rPr>
                <w:color w:val="BFBFBF" w:themeColor="background1" w:themeShade="BF"/>
              </w:rPr>
              <w:t>% with an estimated deficit of £</w:t>
            </w:r>
            <w:r>
              <w:rPr>
                <w:color w:val="BFBFBF" w:themeColor="background1" w:themeShade="BF"/>
              </w:rPr>
              <w:t>722k</w:t>
            </w:r>
            <w:r w:rsidR="008367CC">
              <w:rPr>
                <w:color w:val="BFBFBF" w:themeColor="background1" w:themeShade="BF"/>
              </w:rPr>
              <w:t>.</w:t>
            </w:r>
          </w:p>
          <w:p w:rsidR="008367CC" w:rsidRDefault="008367CC" w:rsidP="0026669A">
            <w:pPr>
              <w:rPr>
                <w:color w:val="BFBFBF" w:themeColor="background1" w:themeShade="BF"/>
              </w:rPr>
            </w:pPr>
            <w:r>
              <w:rPr>
                <w:color w:val="BFBFBF" w:themeColor="background1" w:themeShade="BF"/>
              </w:rPr>
              <w:t>The agreed employer’s contribution rates for 2018/19, 2019/20 and 2020/21 are 1</w:t>
            </w:r>
            <w:r w:rsidR="00BB20B4">
              <w:rPr>
                <w:color w:val="BFBFBF" w:themeColor="background1" w:themeShade="BF"/>
              </w:rPr>
              <w:t xml:space="preserve">4.8% plus £19.4k. </w:t>
            </w:r>
          </w:p>
          <w:p w:rsidR="009A675B" w:rsidRDefault="009A675B"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FE16C4">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FE16C4">
        <w:tc>
          <w:tcPr>
            <w:tcW w:w="9180" w:type="dxa"/>
          </w:tcPr>
          <w:p w:rsidR="00CB2A52" w:rsidRDefault="00CB2A52" w:rsidP="00107B80">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8367CC" w:rsidRPr="008367CC" w:rsidRDefault="00AC4B08" w:rsidP="008367CC">
            <w:pPr>
              <w:rPr>
                <w:lang w:val="en-US"/>
              </w:rPr>
            </w:pPr>
            <w:r>
              <w:rPr>
                <w:lang w:val="en-US"/>
              </w:rPr>
              <w:t xml:space="preserve">There is visibility of costs in the </w:t>
            </w:r>
            <w:r w:rsidR="007448DE">
              <w:rPr>
                <w:lang w:val="en-US"/>
              </w:rPr>
              <w:t>Lothian</w:t>
            </w:r>
            <w:r>
              <w:rPr>
                <w:lang w:val="en-US"/>
              </w:rPr>
              <w:t xml:space="preserve"> Fund’s accounts.</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AC4B08" w:rsidRPr="00AC4B08" w:rsidRDefault="00AC4B08" w:rsidP="00AC4B08">
            <w:pPr>
              <w:rPr>
                <w:lang w:val="en-US"/>
              </w:rPr>
            </w:pPr>
            <w:r>
              <w:rPr>
                <w:lang w:val="en-US"/>
              </w:rPr>
              <w:t xml:space="preserve">Competitive tendering requirements and active contract management should ensure transparency and best value. </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AC4B08" w:rsidRPr="00AC4B08" w:rsidRDefault="00B3217A" w:rsidP="00AC4B08">
            <w:pPr>
              <w:rPr>
                <w:lang w:val="en-US"/>
              </w:rPr>
            </w:pPr>
            <w:r>
              <w:rPr>
                <w:lang w:val="en-US"/>
              </w:rPr>
              <w:t>An agreed, standardized approach to disclosure of costs.</w:t>
            </w:r>
          </w:p>
          <w:p w:rsidR="00CB2A52" w:rsidRPr="00D50707" w:rsidRDefault="00CB2A52" w:rsidP="00107B80">
            <w:pPr>
              <w:pStyle w:val="ListNumber"/>
              <w:numPr>
                <w:ilvl w:val="0"/>
                <w:numId w:val="13"/>
              </w:numPr>
            </w:pPr>
            <w:r w:rsidRPr="00D50707">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7448DE" w:rsidRDefault="00B3217A" w:rsidP="007448DE">
            <w:pPr>
              <w:rPr>
                <w:lang w:val="en-US"/>
              </w:rPr>
            </w:pPr>
            <w:r>
              <w:rPr>
                <w:lang w:val="en-US"/>
              </w:rPr>
              <w:t xml:space="preserve">There is information on governance on the </w:t>
            </w:r>
            <w:r w:rsidR="007448DE">
              <w:rPr>
                <w:lang w:val="en-US"/>
              </w:rPr>
              <w:t>Lothian</w:t>
            </w:r>
            <w:r>
              <w:rPr>
                <w:lang w:val="en-US"/>
              </w:rPr>
              <w:t xml:space="preserve"> Pension Fund (</w:t>
            </w:r>
            <w:r w:rsidR="007448DE">
              <w:rPr>
                <w:lang w:val="en-US"/>
              </w:rPr>
              <w:t>L</w:t>
            </w:r>
            <w:r>
              <w:rPr>
                <w:lang w:val="en-US"/>
              </w:rPr>
              <w:t xml:space="preserve">PF) website </w:t>
            </w:r>
            <w:r w:rsidR="007448DE">
              <w:rPr>
                <w:lang w:val="en-US"/>
              </w:rPr>
              <w:t xml:space="preserve">including </w:t>
            </w:r>
            <w:r>
              <w:rPr>
                <w:lang w:val="en-US"/>
              </w:rPr>
              <w:t xml:space="preserve">reports presented at Pension Committee meetings. Reports from internal and external auditors provide assurance on governance matters. </w:t>
            </w:r>
          </w:p>
          <w:p w:rsidR="00B3217A" w:rsidRDefault="00CB2A52" w:rsidP="007448DE">
            <w:r w:rsidRPr="0027704C">
              <w:t xml:space="preserve">How well </w:t>
            </w:r>
            <w:r>
              <w:t>is the</w:t>
            </w:r>
            <w:r w:rsidRPr="0027704C">
              <w:t xml:space="preserve"> current system</w:t>
            </w:r>
            <w:r>
              <w:t xml:space="preserve"> governed</w:t>
            </w:r>
            <w:r w:rsidRPr="0027704C">
              <w:t>?</w:t>
            </w:r>
          </w:p>
          <w:p w:rsidR="00CB2A52" w:rsidRPr="0027704C" w:rsidRDefault="00E74842" w:rsidP="00E74842">
            <w:pPr>
              <w:pStyle w:val="Question"/>
              <w:numPr>
                <w:ilvl w:val="0"/>
                <w:numId w:val="0"/>
              </w:numPr>
            </w:pPr>
            <w:r>
              <w:rPr>
                <w:i w:val="0"/>
              </w:rPr>
              <w:t xml:space="preserve">The </w:t>
            </w:r>
            <w:r w:rsidR="007448DE">
              <w:rPr>
                <w:i w:val="0"/>
              </w:rPr>
              <w:t xml:space="preserve">current system is well governed </w:t>
            </w:r>
            <w:r>
              <w:rPr>
                <w:i w:val="0"/>
              </w:rPr>
              <w:t>although it</w:t>
            </w:r>
            <w:r w:rsidR="007448DE">
              <w:rPr>
                <w:i w:val="0"/>
              </w:rPr>
              <w:t xml:space="preserve"> would be time consuming for stakeholders to </w:t>
            </w:r>
            <w:r>
              <w:rPr>
                <w:i w:val="0"/>
              </w:rPr>
              <w:t>keep on top of complex pension issues</w:t>
            </w:r>
            <w:r w:rsidR="007448DE">
              <w:rPr>
                <w:i w:val="0"/>
              </w:rPr>
              <w:t>.</w:t>
            </w:r>
            <w:r>
              <w:rPr>
                <w:i w:val="0"/>
              </w:rPr>
              <w:t xml:space="preserve"> </w:t>
            </w:r>
            <w:r w:rsidR="00CB2A52" w:rsidRPr="0027704C">
              <w:t xml:space="preserve">  </w:t>
            </w:r>
          </w:p>
          <w:p w:rsidR="00CB2A52" w:rsidRDefault="00CB2A52" w:rsidP="00C22506">
            <w:pPr>
              <w:pStyle w:val="Question"/>
            </w:pPr>
            <w:r w:rsidRPr="0027704C">
              <w:t xml:space="preserve">How would you improve </w:t>
            </w:r>
            <w:r>
              <w:t>governance of</w:t>
            </w:r>
            <w:r w:rsidRPr="0027704C">
              <w:t xml:space="preserve"> the current system? </w:t>
            </w:r>
          </w:p>
          <w:p w:rsidR="00E74842" w:rsidRDefault="00E74842" w:rsidP="00E74842">
            <w:pPr>
              <w:rPr>
                <w:lang w:val="en-US"/>
              </w:rPr>
            </w:pPr>
            <w:r>
              <w:rPr>
                <w:lang w:val="en-US"/>
              </w:rPr>
              <w:t xml:space="preserve">Widen </w:t>
            </w:r>
            <w:r w:rsidR="007448DE">
              <w:rPr>
                <w:lang w:val="en-US"/>
              </w:rPr>
              <w:t xml:space="preserve">employer’s and </w:t>
            </w:r>
            <w:r>
              <w:rPr>
                <w:lang w:val="en-US"/>
              </w:rPr>
              <w:t>pensioner’s representation on Committees and include an independent adviser on Committee’s.</w:t>
            </w:r>
          </w:p>
          <w:p w:rsidR="00CB2A52" w:rsidRDefault="00CB2A52" w:rsidP="00E74842">
            <w:r w:rsidRPr="00F50CBA">
              <w:t>How important is it to maintain a local connection with respect to oversight and strategy?</w:t>
            </w:r>
          </w:p>
          <w:p w:rsidR="005E438B" w:rsidRDefault="005E438B" w:rsidP="00E74842">
            <w:r>
              <w:t xml:space="preserve">A local connection is important and brings a number of benefits to scheme members and employers, particularly easy and quick access to information and advice. It helps to ensure strategies, policies and processes are developed in line with the needs of members and other stakeholders. </w:t>
            </w:r>
          </w:p>
          <w:p w:rsidR="005E438B" w:rsidRDefault="005E438B" w:rsidP="00107B80">
            <w:pPr>
              <w:pStyle w:val="ListNumber"/>
            </w:pPr>
          </w:p>
          <w:p w:rsidR="00CB2A52" w:rsidRPr="005E438B" w:rsidRDefault="00CB2A52" w:rsidP="00107B80">
            <w:pPr>
              <w:pStyle w:val="ListNumber"/>
            </w:pPr>
            <w:r w:rsidRPr="005E438B">
              <w:lastRenderedPageBreak/>
              <w:t>How would you determine if the benefits of a local connection in governance outweigh the benefits of scale?</w:t>
            </w:r>
          </w:p>
          <w:p w:rsidR="005E438B" w:rsidRPr="005E438B" w:rsidRDefault="005E438B" w:rsidP="00107B80">
            <w:pPr>
              <w:pStyle w:val="ListNumber"/>
            </w:pPr>
            <w:r w:rsidRPr="005E438B">
              <w:t>The aim should be to secure the benefits of scale in terms of cost reductions and increased returns whilst preserving the benefits of a local connection in the governance of funds.</w:t>
            </w:r>
          </w:p>
          <w:p w:rsidR="00CB2A52" w:rsidRPr="005E438B" w:rsidRDefault="00CB2A52" w:rsidP="00107B80">
            <w:pPr>
              <w:pStyle w:val="ListNumber"/>
              <w:numPr>
                <w:ilvl w:val="0"/>
                <w:numId w:val="14"/>
              </w:numPr>
            </w:pPr>
            <w:r w:rsidRPr="005E438B">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7448DE" w:rsidRDefault="007448DE" w:rsidP="007448DE">
            <w:pPr>
              <w:rPr>
                <w:lang w:val="en-US"/>
              </w:rPr>
            </w:pPr>
            <w:r>
              <w:rPr>
                <w:lang w:val="en-US"/>
              </w:rPr>
              <w:t xml:space="preserve">Not very well informed, unless information on risks is available through the LPF website. </w:t>
            </w:r>
          </w:p>
          <w:p w:rsidR="0077704F" w:rsidRPr="007448DE" w:rsidRDefault="00CB2A52" w:rsidP="007448DE">
            <w:pPr>
              <w:rPr>
                <w:i/>
              </w:rPr>
            </w:pPr>
            <w:r w:rsidRPr="007448DE">
              <w:rPr>
                <w:i/>
              </w:rPr>
              <w:t xml:space="preserve">How well are operating risks managed in the current system? </w:t>
            </w:r>
          </w:p>
          <w:p w:rsidR="00CB2A52" w:rsidRPr="00BC7350" w:rsidRDefault="0077704F" w:rsidP="0077704F">
            <w:pPr>
              <w:pStyle w:val="Question"/>
              <w:numPr>
                <w:ilvl w:val="0"/>
                <w:numId w:val="0"/>
              </w:numPr>
            </w:pPr>
            <w:r>
              <w:rPr>
                <w:i w:val="0"/>
              </w:rPr>
              <w:t>The systems of internal control are continuously reviewed by</w:t>
            </w:r>
            <w:r w:rsidR="007448DE">
              <w:rPr>
                <w:i w:val="0"/>
              </w:rPr>
              <w:t xml:space="preserve"> </w:t>
            </w:r>
            <w:r w:rsidR="002E66DD">
              <w:rPr>
                <w:i w:val="0"/>
              </w:rPr>
              <w:t>internal and external audit with oversight provided by Pensions Committee</w:t>
            </w:r>
            <w:r w:rsidR="007448DE">
              <w:rPr>
                <w:i w:val="0"/>
              </w:rPr>
              <w:t>.</w:t>
            </w:r>
          </w:p>
          <w:p w:rsidR="002E66DD" w:rsidRDefault="00CB2A52" w:rsidP="00C22506">
            <w:pPr>
              <w:pStyle w:val="Question"/>
            </w:pPr>
            <w:r w:rsidRPr="00F50CBA">
              <w:t xml:space="preserve">How would you improve </w:t>
            </w:r>
            <w:r>
              <w:t xml:space="preserve">the measurement and </w:t>
            </w:r>
            <w:r w:rsidRPr="00F50CBA">
              <w:t>management of operating risks in the current system?</w:t>
            </w:r>
          </w:p>
          <w:p w:rsidR="00CB2A52" w:rsidRPr="00F50CBA" w:rsidRDefault="002E66DD" w:rsidP="002E66DD">
            <w:pPr>
              <w:pStyle w:val="Question"/>
              <w:numPr>
                <w:ilvl w:val="0"/>
                <w:numId w:val="0"/>
              </w:numPr>
            </w:pPr>
            <w:r>
              <w:rPr>
                <w:i w:val="0"/>
              </w:rPr>
              <w:t>By simplifying scheme regulations and benefits structure which are becoming increasingly complex.</w:t>
            </w:r>
            <w:r w:rsidR="00CB2A52" w:rsidRPr="00F50CBA">
              <w:t xml:space="preserve"> </w:t>
            </w:r>
          </w:p>
          <w:p w:rsidR="00CB2A52" w:rsidRDefault="00CB2A52" w:rsidP="00107B80">
            <w:pPr>
              <w:pStyle w:val="ListNumber"/>
              <w:numPr>
                <w:ilvl w:val="0"/>
                <w:numId w:val="14"/>
              </w:numPr>
            </w:pPr>
            <w: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2E66DD" w:rsidRPr="002E66DD" w:rsidRDefault="002E66DD" w:rsidP="002E66DD">
            <w:pPr>
              <w:rPr>
                <w:lang w:val="en-US"/>
              </w:rPr>
            </w:pPr>
            <w:r>
              <w:rPr>
                <w:lang w:val="en-US"/>
              </w:rPr>
              <w:t xml:space="preserve">There is information on the fund’s investments on the Fund website and the Committee receive regular reports on the performance of infrastructure investments. The creation of a Joint Investment Strategy Panel with the </w:t>
            </w:r>
            <w:r w:rsidR="00934EBC">
              <w:rPr>
                <w:lang w:val="en-US"/>
              </w:rPr>
              <w:t>Falkirk</w:t>
            </w:r>
            <w:r>
              <w:rPr>
                <w:lang w:val="en-US"/>
              </w:rPr>
              <w:t xml:space="preserve"> Fund and Independent advisers allows more time to be spent analyzing infrastruc</w:t>
            </w:r>
            <w:r w:rsidR="000D327C">
              <w:rPr>
                <w:lang w:val="en-US"/>
              </w:rPr>
              <w:t>tu</w:t>
            </w:r>
            <w:r>
              <w:rPr>
                <w:lang w:val="en-US"/>
              </w:rPr>
              <w:t xml:space="preserve">re investments. </w:t>
            </w:r>
          </w:p>
          <w:p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0D327C" w:rsidRPr="000D327C" w:rsidRDefault="000D327C" w:rsidP="000D327C">
            <w:pPr>
              <w:rPr>
                <w:lang w:val="en-US"/>
              </w:rPr>
            </w:pPr>
            <w:r>
              <w:rPr>
                <w:lang w:val="en-US"/>
              </w:rPr>
              <w:t>The current system provides the ability to invest in infrastructure</w:t>
            </w:r>
            <w:r w:rsidR="00F47281">
              <w:rPr>
                <w:lang w:val="en-US"/>
              </w:rPr>
              <w:t xml:space="preserve"> as long as Funds Investment Strategies identify infrastructure as suitable investments.</w:t>
            </w:r>
            <w:r>
              <w:rPr>
                <w:lang w:val="en-US"/>
              </w:rPr>
              <w:t xml:space="preserve">  </w:t>
            </w:r>
          </w:p>
          <w:p w:rsidR="00F47281"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w:t>
            </w:r>
          </w:p>
          <w:p w:rsidR="00CB2A52" w:rsidRPr="0027704C" w:rsidRDefault="00F47281" w:rsidP="00F47281">
            <w:pPr>
              <w:pStyle w:val="Question"/>
              <w:numPr>
                <w:ilvl w:val="0"/>
                <w:numId w:val="0"/>
              </w:numPr>
            </w:pPr>
            <w:r>
              <w:rPr>
                <w:i w:val="0"/>
              </w:rPr>
              <w:t xml:space="preserve">This should only be an objective if it is in line with the Fund’s Investment Strategy and investment returns support the Fund’s objectives to pay benefits and minimize employer costs. </w:t>
            </w:r>
          </w:p>
          <w:p w:rsidR="00513272" w:rsidRDefault="00CB2A52" w:rsidP="00107B80">
            <w:pPr>
              <w:pStyle w:val="ListNumber"/>
              <w:numPr>
                <w:ilvl w:val="0"/>
                <w:numId w:val="14"/>
              </w:numPr>
            </w:pPr>
            <w:r w:rsidRPr="00CB2A52">
              <w:t>Do you have any additional comments about this option?</w:t>
            </w:r>
          </w:p>
          <w:p w:rsidR="000C4E12" w:rsidRDefault="00F47281" w:rsidP="000C4E12">
            <w:r>
              <w:t xml:space="preserve">The </w:t>
            </w:r>
            <w:r w:rsidR="002A405D">
              <w:t xml:space="preserve">current structure generally supports Fund’s to meet their objectives and remain well funded compared to equivalent funds in England. Any change to the current structure will carry risks however it is likely that greater collaboration or mergers will </w:t>
            </w:r>
            <w:r w:rsidR="002A405D">
              <w:lastRenderedPageBreak/>
              <w:t>help the LGPS to meet the considerable challenges it faces particularly in terms of generating returns and ensuring affordability.</w:t>
            </w: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B700D">
        <w:tc>
          <w:tcPr>
            <w:tcW w:w="9180" w:type="dxa"/>
          </w:tcPr>
          <w:p w:rsidR="00CB2A52" w:rsidRDefault="00CB2A52" w:rsidP="00107B80">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827FED" w:rsidRPr="00827FED" w:rsidRDefault="00827FED" w:rsidP="00827FED">
            <w:pPr>
              <w:rPr>
                <w:lang w:val="en-US"/>
              </w:rPr>
            </w:pPr>
            <w:r>
              <w:rPr>
                <w:lang w:val="en-US"/>
              </w:rPr>
              <w:t>Potential to secure some savings through joint procurement of investment managers and other services.</w:t>
            </w:r>
          </w:p>
          <w:p w:rsidR="00CB2A52" w:rsidRDefault="00CB2A52" w:rsidP="00C22506">
            <w:pPr>
              <w:pStyle w:val="Question"/>
            </w:pPr>
            <w:r>
              <w:t>What w</w:t>
            </w:r>
            <w:r w:rsidRPr="00F50CBA">
              <w:t xml:space="preserve">ould be the positive impacts? </w:t>
            </w:r>
          </w:p>
          <w:p w:rsidR="007E570E" w:rsidRPr="007E570E" w:rsidRDefault="007E570E" w:rsidP="007E570E">
            <w:pPr>
              <w:rPr>
                <w:lang w:val="en-US"/>
              </w:rPr>
            </w:pPr>
            <w:r>
              <w:rPr>
                <w:lang w:val="en-US"/>
              </w:rPr>
              <w:t>Apart from savings on investment costs smaller funds would benefit in terms of access to shared resources to deliver better management of investment managers, better performance analysis and understanding of risk.</w:t>
            </w:r>
          </w:p>
          <w:p w:rsidR="00CB2A52" w:rsidRDefault="00CB2A52" w:rsidP="00C22506">
            <w:pPr>
              <w:pStyle w:val="Question"/>
            </w:pPr>
            <w:r>
              <w:t>What w</w:t>
            </w:r>
            <w:r w:rsidRPr="00F50CBA">
              <w:t>ould be the negative impacts?</w:t>
            </w:r>
          </w:p>
          <w:p w:rsidR="007E570E" w:rsidRPr="007E570E" w:rsidRDefault="007E570E" w:rsidP="007E570E">
            <w:pPr>
              <w:rPr>
                <w:lang w:val="en-US"/>
              </w:rPr>
            </w:pPr>
            <w:r>
              <w:rPr>
                <w:lang w:val="en-US"/>
              </w:rPr>
              <w:t xml:space="preserve">No negative impacts for funds but benefits more likely for smaller funds. </w:t>
            </w:r>
          </w:p>
          <w:p w:rsidR="00CB2A52" w:rsidRDefault="00CB2A52" w:rsidP="00107B80">
            <w:pPr>
              <w:pStyle w:val="ListNumber"/>
              <w:numPr>
                <w:ilvl w:val="0"/>
                <w:numId w:val="10"/>
              </w:numPr>
            </w:pPr>
            <w:r>
              <w:t>Governance:</w:t>
            </w:r>
          </w:p>
          <w:p w:rsidR="007E570E" w:rsidRDefault="00CB2A52" w:rsidP="00C22506">
            <w:pPr>
              <w:pStyle w:val="Question"/>
            </w:pPr>
            <w:r w:rsidRPr="00F50CBA">
              <w:t xml:space="preserve">What impact do you think promoting agreements between funds would have on </w:t>
            </w:r>
            <w:r>
              <w:t>governance</w:t>
            </w:r>
            <w:r w:rsidRPr="00F50CBA">
              <w:t>?</w:t>
            </w:r>
          </w:p>
          <w:p w:rsidR="00CB2A52" w:rsidRDefault="007E570E" w:rsidP="007E570E">
            <w:pPr>
              <w:pStyle w:val="Question"/>
              <w:numPr>
                <w:ilvl w:val="0"/>
                <w:numId w:val="0"/>
              </w:numPr>
            </w:pPr>
            <w:r>
              <w:rPr>
                <w:i w:val="0"/>
              </w:rPr>
              <w:t>Collaboration will be easier to achieve where underlying governance structures are similar and it can be demonstrated that all Funds involved in the collaborations will secure benefits.</w:t>
            </w:r>
            <w:r w:rsidR="00CB2A52" w:rsidRPr="00F50CBA">
              <w:t xml:space="preserve"> </w:t>
            </w:r>
          </w:p>
          <w:p w:rsidR="007E570E" w:rsidRDefault="00CB2A52" w:rsidP="00C22506">
            <w:pPr>
              <w:pStyle w:val="Question"/>
            </w:pPr>
            <w:r>
              <w:t>What w</w:t>
            </w:r>
            <w:r w:rsidRPr="00F50CBA">
              <w:t>ould be the positive impacts?</w:t>
            </w:r>
          </w:p>
          <w:p w:rsidR="00CB2A52" w:rsidRDefault="007E570E" w:rsidP="007E570E">
            <w:pPr>
              <w:pStyle w:val="Question"/>
              <w:numPr>
                <w:ilvl w:val="0"/>
                <w:numId w:val="0"/>
              </w:numPr>
            </w:pPr>
            <w:r>
              <w:rPr>
                <w:i w:val="0"/>
              </w:rPr>
              <w:t>Sharing of resources, experience, expertise</w:t>
            </w:r>
            <w:r w:rsidR="00684FCD">
              <w:rPr>
                <w:i w:val="0"/>
              </w:rPr>
              <w:t xml:space="preserve"> leading to better outcomes.</w:t>
            </w:r>
            <w:r w:rsidR="00CB2A52" w:rsidRPr="00F50CBA">
              <w:t xml:space="preserve"> </w:t>
            </w:r>
          </w:p>
          <w:p w:rsidR="00CB2A52" w:rsidRDefault="00CB2A52" w:rsidP="00C22506">
            <w:pPr>
              <w:pStyle w:val="Question"/>
            </w:pPr>
            <w:r>
              <w:t>What w</w:t>
            </w:r>
            <w:r w:rsidRPr="00F50CBA">
              <w:t>ould be the negative impacts?</w:t>
            </w:r>
          </w:p>
          <w:p w:rsidR="00684FCD" w:rsidRDefault="00684FCD" w:rsidP="00684FCD">
            <w:pPr>
              <w:rPr>
                <w:lang w:val="en-US"/>
              </w:rPr>
            </w:pPr>
            <w:r>
              <w:rPr>
                <w:lang w:val="en-US"/>
              </w:rPr>
              <w:t>There could be negative impacts in terms of lack of co-ordination, delays in decision-making if underlying governance structures are not aligned or there are too many collaborative partners.</w:t>
            </w:r>
          </w:p>
          <w:p w:rsidR="00CB2A52" w:rsidRDefault="00CB2A52" w:rsidP="00107B80">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CA5F85" w:rsidRPr="00CA5F85" w:rsidRDefault="00CA5F85" w:rsidP="00CA5F85">
            <w:pPr>
              <w:rPr>
                <w:lang w:val="en-US"/>
              </w:rPr>
            </w:pPr>
            <w:r>
              <w:rPr>
                <w:lang w:val="en-US"/>
              </w:rPr>
              <w:lastRenderedPageBreak/>
              <w:t>There would likely be a positive impact on both the risk management process (more skilled resources) and control of risks e.g. key person risks and improved resilience.</w:t>
            </w:r>
          </w:p>
          <w:p w:rsidR="00CA5F85" w:rsidRDefault="00CB2A52" w:rsidP="00C22506">
            <w:pPr>
              <w:pStyle w:val="Question"/>
            </w:pPr>
            <w:r>
              <w:t>What w</w:t>
            </w:r>
            <w:r w:rsidRPr="00F50CBA">
              <w:t>ould be the positive impacts?</w:t>
            </w:r>
          </w:p>
          <w:p w:rsidR="00CB2A52" w:rsidRDefault="00CA5F85" w:rsidP="00CA5F85">
            <w:pPr>
              <w:pStyle w:val="Question"/>
              <w:numPr>
                <w:ilvl w:val="0"/>
                <w:numId w:val="0"/>
              </w:numPr>
            </w:pPr>
            <w:r>
              <w:rPr>
                <w:i w:val="0"/>
              </w:rPr>
              <w:t>See above.</w:t>
            </w:r>
            <w:r w:rsidR="00CB2A52" w:rsidRPr="00F50CBA">
              <w:t xml:space="preserve"> </w:t>
            </w:r>
          </w:p>
          <w:p w:rsidR="00CB2A52" w:rsidRDefault="00CB2A52" w:rsidP="00C22506">
            <w:pPr>
              <w:pStyle w:val="Question"/>
            </w:pPr>
            <w:r>
              <w:t>What w</w:t>
            </w:r>
            <w:r w:rsidRPr="00F50CBA">
              <w:t>ould be the negative impacts?</w:t>
            </w:r>
          </w:p>
          <w:p w:rsidR="00CA5F85" w:rsidRPr="00CA5F85" w:rsidRDefault="00CA5F85" w:rsidP="00CA5F85">
            <w:pPr>
              <w:rPr>
                <w:lang w:val="en-US"/>
              </w:rPr>
            </w:pPr>
            <w:r>
              <w:rPr>
                <w:lang w:val="en-US"/>
              </w:rPr>
              <w:t>There would still be duplication across the 11 funds and there may be little impetus to collaborate.</w:t>
            </w:r>
          </w:p>
          <w:p w:rsidR="00CB2A52" w:rsidRPr="00F50CBA" w:rsidRDefault="00CB2A52" w:rsidP="00107B80">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A5F85" w:rsidRPr="00CA5F85" w:rsidRDefault="00CA5F85" w:rsidP="00CA5F85">
            <w:pPr>
              <w:rPr>
                <w:lang w:val="en-US"/>
              </w:rPr>
            </w:pPr>
            <w:r>
              <w:rPr>
                <w:lang w:val="en-US"/>
              </w:rPr>
              <w:t>May make it easier for smaller funds to invest in infrastructure projects.</w:t>
            </w:r>
          </w:p>
          <w:p w:rsidR="00CB2A52" w:rsidRDefault="00CB2A52" w:rsidP="00C22506">
            <w:pPr>
              <w:pStyle w:val="Question"/>
            </w:pPr>
            <w:r>
              <w:t>What w</w:t>
            </w:r>
            <w:r w:rsidRPr="00F50CBA">
              <w:t xml:space="preserve">ould be the positive impacts? </w:t>
            </w:r>
          </w:p>
          <w:p w:rsidR="00CA5F85" w:rsidRPr="00CA5F85" w:rsidRDefault="00CA5F85" w:rsidP="00CA5F85">
            <w:pPr>
              <w:rPr>
                <w:lang w:val="en-US"/>
              </w:rPr>
            </w:pPr>
            <w:r>
              <w:rPr>
                <w:lang w:val="en-US"/>
              </w:rPr>
              <w:t>Potential for reduced costs, greater scale of investment.</w:t>
            </w:r>
          </w:p>
          <w:p w:rsidR="00CB2A52" w:rsidRDefault="00CB2A52" w:rsidP="00C22506">
            <w:pPr>
              <w:pStyle w:val="Question"/>
            </w:pPr>
            <w:r>
              <w:t>What w</w:t>
            </w:r>
            <w:r w:rsidRPr="00F50CBA">
              <w:t>ould be the negative impacts?</w:t>
            </w:r>
          </w:p>
          <w:p w:rsidR="00CA5F85" w:rsidRPr="00CA5F85" w:rsidRDefault="00CA5F85" w:rsidP="00CA5F85">
            <w:pPr>
              <w:rPr>
                <w:lang w:val="en-US"/>
              </w:rPr>
            </w:pPr>
            <w:r>
              <w:rPr>
                <w:lang w:val="en-US"/>
              </w:rPr>
              <w:t>No negative impacts.</w:t>
            </w:r>
          </w:p>
          <w:p w:rsidR="00CB2A52" w:rsidRDefault="00CB2A52" w:rsidP="00107B80">
            <w:pPr>
              <w:pStyle w:val="ListNumber"/>
              <w:numPr>
                <w:ilvl w:val="0"/>
                <w:numId w:val="10"/>
              </w:numPr>
            </w:pPr>
            <w:r>
              <w:t>Do you have any additional comments about this option?</w:t>
            </w:r>
          </w:p>
          <w:p w:rsidR="000C4E12" w:rsidRDefault="00381C9F" w:rsidP="000C4E12">
            <w:r>
              <w:t>There would appear to be scope for collaboration to be increased. The benefits of existing collaborations, including the Falkirk, Lothian and Fife collaboration, could be evaluated to provide evidence to support further change.</w:t>
            </w:r>
          </w:p>
          <w:p w:rsidR="00616BC9" w:rsidRDefault="00616BC9" w:rsidP="001B700D"/>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1B700D">
        <w:tc>
          <w:tcPr>
            <w:tcW w:w="9180" w:type="dxa"/>
          </w:tcPr>
          <w:p w:rsidR="00616BC9" w:rsidRDefault="00616BC9" w:rsidP="00107B80">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381C9F" w:rsidRPr="00381C9F" w:rsidRDefault="00381C9F" w:rsidP="00381C9F">
            <w:pPr>
              <w:rPr>
                <w:lang w:val="en-US"/>
              </w:rPr>
            </w:pPr>
            <w:r>
              <w:rPr>
                <w:lang w:val="en-US"/>
              </w:rPr>
              <w:t xml:space="preserve">Could result in some savings in the cost of investing </w:t>
            </w:r>
            <w:r w:rsidR="009A5FC0">
              <w:rPr>
                <w:lang w:val="en-US"/>
              </w:rPr>
              <w:t xml:space="preserve">for smaller to medium size funds </w:t>
            </w:r>
            <w:r>
              <w:rPr>
                <w:lang w:val="en-US"/>
              </w:rPr>
              <w:t xml:space="preserve">but likely to be offset by additional set up costs. </w:t>
            </w:r>
          </w:p>
          <w:p w:rsidR="009A5FC0" w:rsidRDefault="00616BC9" w:rsidP="00C22506">
            <w:pPr>
              <w:pStyle w:val="Question"/>
            </w:pPr>
            <w:r w:rsidRPr="00C22506">
              <w:t>What would be the positive impacts?</w:t>
            </w:r>
          </w:p>
          <w:p w:rsidR="00616BC9" w:rsidRPr="00C22506" w:rsidRDefault="009A5FC0" w:rsidP="009A5FC0">
            <w:pPr>
              <w:pStyle w:val="Question"/>
              <w:numPr>
                <w:ilvl w:val="0"/>
                <w:numId w:val="0"/>
              </w:numPr>
            </w:pPr>
            <w:r>
              <w:rPr>
                <w:i w:val="0"/>
              </w:rPr>
              <w:t>For smaller funds the potential for cost savings and the chance to invest in a broader range of asset classes.</w:t>
            </w:r>
            <w:r w:rsidR="00616BC9" w:rsidRPr="00C22506">
              <w:t xml:space="preserve"> </w:t>
            </w:r>
          </w:p>
          <w:p w:rsidR="00616BC9" w:rsidRDefault="00616BC9" w:rsidP="00C22506">
            <w:pPr>
              <w:pStyle w:val="Question"/>
            </w:pPr>
            <w:r w:rsidRPr="00C22506">
              <w:t>What would be the negative impacts?</w:t>
            </w:r>
          </w:p>
          <w:p w:rsidR="009A5FC0" w:rsidRPr="009A5FC0" w:rsidRDefault="009A5FC0" w:rsidP="009A5FC0">
            <w:pPr>
              <w:rPr>
                <w:lang w:val="en-US"/>
              </w:rPr>
            </w:pPr>
            <w:r>
              <w:rPr>
                <w:lang w:val="en-US"/>
              </w:rPr>
              <w:t>A period of uncertainty as proof of concept dies not yet seem to have emerged in England and Wales. Cost savings could be a negative if it leads to a restricted choice of investment options, and reduced returns or increased risk.</w:t>
            </w:r>
          </w:p>
          <w:p w:rsidR="00616BC9" w:rsidRDefault="00616BC9" w:rsidP="00C22506">
            <w:pPr>
              <w:pStyle w:val="Question"/>
            </w:pPr>
            <w:r w:rsidRPr="00C22506">
              <w:t>If asset pooling were possible, under what circumstances should a fund consider joining an asset pool?</w:t>
            </w:r>
          </w:p>
          <w:p w:rsidR="009A5FC0" w:rsidRPr="009A5FC0" w:rsidRDefault="009A5FC0" w:rsidP="009A5FC0">
            <w:pPr>
              <w:rPr>
                <w:lang w:val="en-US"/>
              </w:rPr>
            </w:pPr>
            <w:r>
              <w:rPr>
                <w:lang w:val="en-US"/>
              </w:rPr>
              <w:t>Each fund should assess the costs and benefits of joining an asset pool.</w:t>
            </w:r>
          </w:p>
          <w:p w:rsidR="00616BC9" w:rsidRDefault="00616BC9" w:rsidP="00C22506">
            <w:pPr>
              <w:pStyle w:val="Question"/>
            </w:pPr>
            <w:r w:rsidRPr="00C22506">
              <w:t>Under which circumstances should the SLGPS consider directing funds to pool?</w:t>
            </w:r>
          </w:p>
          <w:p w:rsidR="009A5FC0" w:rsidRPr="009A5FC0" w:rsidRDefault="009A5FC0" w:rsidP="009A5FC0">
            <w:pPr>
              <w:rPr>
                <w:lang w:val="en-US"/>
              </w:rPr>
            </w:pPr>
            <w:r>
              <w:rPr>
                <w:lang w:val="en-US"/>
              </w:rPr>
              <w:t>Only if the business case can be clearly established or if individual funds are failing to achieve their targets.</w:t>
            </w:r>
          </w:p>
          <w:p w:rsidR="00616BC9" w:rsidRDefault="00616BC9" w:rsidP="00107B80">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4D2F48" w:rsidRPr="004D2F48" w:rsidRDefault="004D2F48" w:rsidP="004D2F48">
            <w:pPr>
              <w:rPr>
                <w:lang w:val="en-US"/>
              </w:rPr>
            </w:pPr>
            <w:r>
              <w:rPr>
                <w:lang w:val="en-US"/>
              </w:rPr>
              <w:t>Potential for additional bureaucracy and disagreements between pools and funds e.g. investment principles.</w:t>
            </w:r>
          </w:p>
          <w:p w:rsidR="004D2F48" w:rsidRDefault="00616BC9" w:rsidP="00C22506">
            <w:pPr>
              <w:pStyle w:val="Question"/>
            </w:pPr>
            <w:r w:rsidRPr="00C22506">
              <w:t>What would be the positive impacts?</w:t>
            </w:r>
          </w:p>
          <w:p w:rsidR="00616BC9" w:rsidRPr="00C22506" w:rsidRDefault="004D2F48" w:rsidP="004D2F48">
            <w:pPr>
              <w:pStyle w:val="Question"/>
              <w:numPr>
                <w:ilvl w:val="0"/>
                <w:numId w:val="0"/>
              </w:numPr>
            </w:pPr>
            <w:r>
              <w:rPr>
                <w:i w:val="0"/>
              </w:rPr>
              <w:t>Potential to recruit more skilled, dedicated staff to manage the pools.</w:t>
            </w:r>
            <w:r w:rsidR="00616BC9" w:rsidRPr="00C22506">
              <w:t xml:space="preserve"> </w:t>
            </w:r>
          </w:p>
          <w:p w:rsidR="00616BC9" w:rsidRDefault="00616BC9" w:rsidP="00C22506">
            <w:pPr>
              <w:pStyle w:val="Question"/>
            </w:pPr>
            <w:r w:rsidRPr="00C22506">
              <w:t>What would be the negative impacts?</w:t>
            </w:r>
          </w:p>
          <w:p w:rsidR="004D2F48" w:rsidRPr="004D2F48" w:rsidRDefault="004D2F48" w:rsidP="004D2F48">
            <w:pPr>
              <w:rPr>
                <w:lang w:val="en-US"/>
              </w:rPr>
            </w:pPr>
            <w:r>
              <w:rPr>
                <w:lang w:val="en-US"/>
              </w:rPr>
              <w:t>Potential for long transition</w:t>
            </w:r>
            <w:r w:rsidR="00A54575">
              <w:rPr>
                <w:lang w:val="en-US"/>
              </w:rPr>
              <w:t xml:space="preserve"> process diverting resources from fund management</w:t>
            </w:r>
            <w:r>
              <w:rPr>
                <w:lang w:val="en-US"/>
              </w:rPr>
              <w:t>.</w:t>
            </w:r>
          </w:p>
          <w:p w:rsidR="00616BC9" w:rsidRDefault="00616BC9" w:rsidP="00107B80">
            <w:pPr>
              <w:pStyle w:val="ListNumber"/>
              <w:numPr>
                <w:ilvl w:val="0"/>
                <w:numId w:val="1"/>
              </w:numPr>
            </w:pPr>
            <w:r>
              <w:t>Operating risks:</w:t>
            </w:r>
          </w:p>
          <w:p w:rsidR="00616BC9" w:rsidRDefault="00616BC9" w:rsidP="00C22506">
            <w:pPr>
              <w:pStyle w:val="Question"/>
            </w:pPr>
            <w:r w:rsidRPr="00C22506">
              <w:t xml:space="preserve">What impact do you think pooling investments between funds would have on operating risks? </w:t>
            </w:r>
          </w:p>
          <w:p w:rsidR="00A54575" w:rsidRPr="00A54575" w:rsidRDefault="00A54575" w:rsidP="00A54575">
            <w:pPr>
              <w:rPr>
                <w:lang w:val="en-US"/>
              </w:rPr>
            </w:pPr>
            <w:r>
              <w:rPr>
                <w:lang w:val="en-US"/>
              </w:rPr>
              <w:lastRenderedPageBreak/>
              <w:t>May reduce risks in manager selection process and key person risk.</w:t>
            </w:r>
          </w:p>
          <w:p w:rsidR="00616BC9" w:rsidRDefault="00616BC9" w:rsidP="00C22506">
            <w:pPr>
              <w:pStyle w:val="Question"/>
            </w:pPr>
            <w:r w:rsidRPr="00C22506">
              <w:t xml:space="preserve">What would be the positive impacts? </w:t>
            </w:r>
          </w:p>
          <w:p w:rsidR="00A54575" w:rsidRPr="00A54575" w:rsidRDefault="00A54575" w:rsidP="00A54575">
            <w:pPr>
              <w:rPr>
                <w:lang w:val="en-US"/>
              </w:rPr>
            </w:pPr>
            <w:r>
              <w:rPr>
                <w:lang w:val="en-US"/>
              </w:rPr>
              <w:t>Linked to recruitment of skilled, dedicated staff, better oversight of investment managers.</w:t>
            </w:r>
          </w:p>
          <w:p w:rsidR="00616BC9" w:rsidRDefault="00616BC9" w:rsidP="00C22506">
            <w:pPr>
              <w:pStyle w:val="Question"/>
            </w:pPr>
            <w:r w:rsidRPr="00C22506">
              <w:t>What would be the negative impacts?</w:t>
            </w:r>
          </w:p>
          <w:p w:rsidR="00A54575" w:rsidRPr="00A54575" w:rsidRDefault="00A54575" w:rsidP="00A54575">
            <w:pPr>
              <w:rPr>
                <w:lang w:val="en-US"/>
              </w:rPr>
            </w:pPr>
            <w:r>
              <w:rPr>
                <w:lang w:val="en-US"/>
              </w:rPr>
              <w:t>Fund Committees more distant from their underlying investments.</w:t>
            </w:r>
          </w:p>
          <w:p w:rsidR="00616BC9" w:rsidRPr="002541D9" w:rsidRDefault="00616BC9" w:rsidP="00107B80">
            <w:pPr>
              <w:pStyle w:val="ListNumber"/>
              <w:numPr>
                <w:ilvl w:val="0"/>
                <w:numId w:val="1"/>
              </w:numPr>
              <w:rPr>
                <w:u w:val="single"/>
              </w:rPr>
            </w:pPr>
            <w:r>
              <w:t xml:space="preserve">Infrastructure: </w:t>
            </w:r>
          </w:p>
          <w:p w:rsidR="00616BC9" w:rsidRDefault="00616BC9" w:rsidP="00C22506">
            <w:pPr>
              <w:pStyle w:val="Question"/>
            </w:pPr>
            <w:r w:rsidRPr="00C22506">
              <w:t xml:space="preserve">What impact do you think pooling investments between funds would have on funds’ ability to invest in infrastructure? </w:t>
            </w:r>
          </w:p>
          <w:p w:rsidR="00A54575" w:rsidRPr="00A54575" w:rsidRDefault="00A54575" w:rsidP="00A54575">
            <w:pPr>
              <w:rPr>
                <w:lang w:val="en-US"/>
              </w:rPr>
            </w:pPr>
            <w:r>
              <w:rPr>
                <w:lang w:val="en-US"/>
              </w:rPr>
              <w:t xml:space="preserve">May have limited impact as </w:t>
            </w:r>
            <w:r w:rsidR="00121658">
              <w:rPr>
                <w:lang w:val="en-US"/>
              </w:rPr>
              <w:t>this option is already available to Funds and decisions should always be made on the basis of the fund’s investment strategy.</w:t>
            </w:r>
          </w:p>
          <w:p w:rsidR="00616BC9" w:rsidRDefault="00616BC9" w:rsidP="00C22506">
            <w:pPr>
              <w:pStyle w:val="Question"/>
            </w:pPr>
            <w:r w:rsidRPr="00C22506">
              <w:t xml:space="preserve">What would be the positive impacts? </w:t>
            </w:r>
          </w:p>
          <w:p w:rsidR="00121658" w:rsidRPr="00121658" w:rsidRDefault="00121658" w:rsidP="00121658">
            <w:pPr>
              <w:rPr>
                <w:lang w:val="en-US"/>
              </w:rPr>
            </w:pPr>
            <w:r>
              <w:rPr>
                <w:lang w:val="en-US"/>
              </w:rPr>
              <w:t>There exists the opportunity for funds to collaborate on infrastructure investment. This could be extended to a wider initiative for Scottish funds.</w:t>
            </w:r>
          </w:p>
          <w:p w:rsidR="00616BC9" w:rsidRDefault="00616BC9" w:rsidP="00C22506">
            <w:pPr>
              <w:pStyle w:val="Question"/>
            </w:pPr>
            <w:r w:rsidRPr="00C22506">
              <w:t>What would be the negative impacts?</w:t>
            </w:r>
          </w:p>
          <w:p w:rsidR="00121658" w:rsidRPr="00121658" w:rsidRDefault="00656DB2" w:rsidP="00121658">
            <w:pPr>
              <w:rPr>
                <w:lang w:val="en-US"/>
              </w:rPr>
            </w:pPr>
            <w:r>
              <w:rPr>
                <w:lang w:val="en-US"/>
              </w:rPr>
              <w:t>Transition period may slow down progress being made through collaborative approaches.</w:t>
            </w:r>
          </w:p>
          <w:p w:rsidR="00616BC9" w:rsidRDefault="00616BC9" w:rsidP="00107B80">
            <w:pPr>
              <w:pStyle w:val="ListNumber"/>
            </w:pPr>
            <w:r>
              <w:t>Do you have any additional comments about this option?</w:t>
            </w:r>
          </w:p>
          <w:p w:rsidR="00616BC9" w:rsidRDefault="00616BC9" w:rsidP="000C4E12"/>
          <w:p w:rsidR="00616BC9" w:rsidRDefault="00616BC9" w:rsidP="001B700D"/>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1B700D">
            <w:r>
              <w:t>The text can wrap onto additional pages</w:t>
            </w:r>
            <w:r w:rsidR="00CB2A52">
              <w:t>.</w:t>
            </w:r>
          </w:p>
        </w:tc>
      </w:tr>
      <w:tr w:rsidR="00616BC9" w:rsidTr="001B700D">
        <w:tc>
          <w:tcPr>
            <w:tcW w:w="9180" w:type="dxa"/>
          </w:tcPr>
          <w:p w:rsidR="00616BC9" w:rsidRPr="00C22506" w:rsidRDefault="00616BC9" w:rsidP="00107B80">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F61CB8" w:rsidRPr="00F61CB8" w:rsidRDefault="00F61CB8" w:rsidP="00F61CB8">
            <w:pPr>
              <w:rPr>
                <w:lang w:val="en-US"/>
              </w:rPr>
            </w:pPr>
            <w:r>
              <w:rPr>
                <w:lang w:val="en-US"/>
              </w:rPr>
              <w:t>Potential for cost savings</w:t>
            </w:r>
            <w:r w:rsidR="00847C9C">
              <w:rPr>
                <w:lang w:val="en-US"/>
              </w:rPr>
              <w:t xml:space="preserve"> over the longer term</w:t>
            </w:r>
            <w:r>
              <w:rPr>
                <w:lang w:val="en-US"/>
              </w:rPr>
              <w:t>.</w:t>
            </w:r>
          </w:p>
          <w:p w:rsidR="00616BC9" w:rsidRDefault="00616BC9" w:rsidP="00C22506">
            <w:pPr>
              <w:pStyle w:val="Question"/>
            </w:pPr>
            <w:r w:rsidRPr="00C22506">
              <w:t xml:space="preserve">What would be the positive impacts? </w:t>
            </w:r>
          </w:p>
          <w:p w:rsidR="00F61CB8" w:rsidRPr="00F61CB8" w:rsidRDefault="00F61CB8" w:rsidP="00F61CB8">
            <w:pPr>
              <w:rPr>
                <w:lang w:val="en-US"/>
              </w:rPr>
            </w:pPr>
            <w:r>
              <w:rPr>
                <w:lang w:val="en-US"/>
              </w:rPr>
              <w:t>Skilled, dedicated staff would positively impact on decision making and governance.</w:t>
            </w:r>
          </w:p>
          <w:p w:rsidR="00616BC9" w:rsidRDefault="00616BC9" w:rsidP="00C22506">
            <w:pPr>
              <w:pStyle w:val="Question"/>
            </w:pPr>
            <w:r w:rsidRPr="00C22506">
              <w:t>What would be the negative impacts?</w:t>
            </w:r>
          </w:p>
          <w:p w:rsidR="00F61CB8" w:rsidRPr="00F61CB8" w:rsidRDefault="00847C9C" w:rsidP="00F61CB8">
            <w:pPr>
              <w:rPr>
                <w:lang w:val="en-US"/>
              </w:rPr>
            </w:pPr>
            <w:r>
              <w:rPr>
                <w:lang w:val="en-US"/>
              </w:rPr>
              <w:t>Could be significant costs associated with the transition.</w:t>
            </w:r>
            <w:r w:rsidR="00750676">
              <w:rPr>
                <w:lang w:val="en-US"/>
              </w:rPr>
              <w:t xml:space="preserve"> It would need to be very clear that the ultimate </w:t>
            </w:r>
            <w:r w:rsidR="00721E0F">
              <w:rPr>
                <w:lang w:val="en-US"/>
              </w:rPr>
              <w:t xml:space="preserve">goals and </w:t>
            </w:r>
            <w:r w:rsidR="00750676">
              <w:rPr>
                <w:lang w:val="en-US"/>
              </w:rPr>
              <w:t xml:space="preserve">benefits for the funds’ beneficiaries would justify taking on the very significant challenge, cost and potential distraction of aligning very </w:t>
            </w:r>
            <w:r w:rsidR="00750676">
              <w:t xml:space="preserve">different </w:t>
            </w:r>
            <w:r w:rsidR="00750676">
              <w:t>funding positions</w:t>
            </w:r>
            <w:r w:rsidR="00750676">
              <w:t xml:space="preserve">, </w:t>
            </w:r>
            <w:r w:rsidR="00750676">
              <w:t xml:space="preserve">membership </w:t>
            </w:r>
            <w:r w:rsidR="00750676">
              <w:t>profiles and investment strategies of each particular fund</w:t>
            </w:r>
            <w:r w:rsidR="00721E0F">
              <w:t>.</w:t>
            </w:r>
            <w:bookmarkStart w:id="0" w:name="_GoBack"/>
            <w:bookmarkEnd w:id="0"/>
            <w:r w:rsidR="00750676">
              <w:t xml:space="preserve"> </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847C9C" w:rsidRPr="00847C9C" w:rsidRDefault="00847C9C" w:rsidP="00847C9C">
            <w:pPr>
              <w:rPr>
                <w:lang w:val="en-US"/>
              </w:rPr>
            </w:pPr>
            <w:r>
              <w:rPr>
                <w:lang w:val="en-US"/>
              </w:rPr>
              <w:t>Clear business case setting out the benefits for fund members.</w:t>
            </w:r>
          </w:p>
          <w:p w:rsidR="00616BC9" w:rsidRDefault="00616BC9" w:rsidP="00C22506">
            <w:pPr>
              <w:pStyle w:val="Question"/>
            </w:pPr>
            <w:r w:rsidRPr="00C22506">
              <w:t>Under what circumstances should the SLGPS consider directing funds to merge?</w:t>
            </w:r>
          </w:p>
          <w:p w:rsidR="00847C9C" w:rsidRPr="00847C9C" w:rsidRDefault="00847C9C" w:rsidP="00847C9C">
            <w:pPr>
              <w:rPr>
                <w:lang w:val="en-US"/>
              </w:rPr>
            </w:pPr>
            <w:r>
              <w:rPr>
                <w:lang w:val="en-US"/>
              </w:rPr>
              <w:t>Only where the it is clear this is the best structure to deliver benefits to fund members and employers.</w:t>
            </w:r>
          </w:p>
          <w:p w:rsidR="00616BC9" w:rsidRDefault="00616BC9" w:rsidP="00107B80">
            <w:pPr>
              <w:pStyle w:val="ListNumber"/>
            </w:pPr>
            <w:r>
              <w:t xml:space="preserve">Governance: </w:t>
            </w:r>
          </w:p>
          <w:p w:rsidR="00847C9C" w:rsidRDefault="00616BC9" w:rsidP="00C22506">
            <w:pPr>
              <w:pStyle w:val="Question"/>
            </w:pPr>
            <w:r w:rsidRPr="00C22506">
              <w:t>What impact do you think mergers between funds would have on governance?</w:t>
            </w:r>
          </w:p>
          <w:p w:rsidR="00616BC9" w:rsidRPr="00C22506" w:rsidRDefault="00847C9C" w:rsidP="00847C9C">
            <w:pPr>
              <w:pStyle w:val="Question"/>
              <w:numPr>
                <w:ilvl w:val="0"/>
                <w:numId w:val="0"/>
              </w:numPr>
            </w:pPr>
            <w:r>
              <w:rPr>
                <w:i w:val="0"/>
              </w:rPr>
              <w:t>Would depend on the scale of merger with larger scale mergers reducing local involvement in fund governance.</w:t>
            </w:r>
            <w:r w:rsidR="00616BC9" w:rsidRPr="00C22506">
              <w:t xml:space="preserve"> </w:t>
            </w:r>
          </w:p>
          <w:p w:rsidR="00616BC9" w:rsidRDefault="00616BC9" w:rsidP="00C22506">
            <w:pPr>
              <w:pStyle w:val="Question"/>
            </w:pPr>
            <w:r w:rsidRPr="00C22506">
              <w:t xml:space="preserve">What would be the positive impacts? </w:t>
            </w:r>
          </w:p>
          <w:p w:rsidR="00847C9C" w:rsidRPr="00847C9C" w:rsidRDefault="00847C9C" w:rsidP="00847C9C">
            <w:pPr>
              <w:rPr>
                <w:lang w:val="en-US"/>
              </w:rPr>
            </w:pPr>
            <w:r>
              <w:rPr>
                <w:lang w:val="en-US"/>
              </w:rPr>
              <w:t>Streamlined governance arrangements with skilled, dedicated resources concentrated in fewer Pension Committees.</w:t>
            </w:r>
          </w:p>
          <w:p w:rsidR="00616BC9" w:rsidRDefault="00616BC9" w:rsidP="00C22506">
            <w:pPr>
              <w:pStyle w:val="Question"/>
            </w:pPr>
            <w:r w:rsidRPr="00C22506">
              <w:t>What would be the negative impacts?</w:t>
            </w:r>
          </w:p>
          <w:p w:rsidR="00847C9C" w:rsidRPr="00847C9C" w:rsidRDefault="00847C9C" w:rsidP="00847C9C">
            <w:pPr>
              <w:rPr>
                <w:lang w:val="en-US"/>
              </w:rPr>
            </w:pPr>
            <w:r>
              <w:rPr>
                <w:lang w:val="en-US"/>
              </w:rPr>
              <w:t xml:space="preserve">Increased reliance on fewer </w:t>
            </w:r>
            <w:r w:rsidR="00861452">
              <w:rPr>
                <w:lang w:val="en-US"/>
              </w:rPr>
              <w:t>individuals looking after the interests of a much greater number of stakeholders could stretch oversight resources.</w:t>
            </w:r>
          </w:p>
          <w:p w:rsidR="00616BC9" w:rsidRDefault="00616BC9" w:rsidP="00107B80">
            <w:pPr>
              <w:pStyle w:val="ListNumber"/>
            </w:pPr>
            <w:r>
              <w:t xml:space="preserve">Operating risks: </w:t>
            </w:r>
          </w:p>
          <w:p w:rsidR="00861452" w:rsidRDefault="00616BC9" w:rsidP="00C22506">
            <w:pPr>
              <w:pStyle w:val="Question"/>
            </w:pPr>
            <w:r w:rsidRPr="00C22506">
              <w:t>What impact do you think mergers between funds would have on operating risks?</w:t>
            </w:r>
          </w:p>
          <w:p w:rsidR="00616BC9" w:rsidRPr="00C22506" w:rsidRDefault="00861452" w:rsidP="00861452">
            <w:pPr>
              <w:pStyle w:val="Question"/>
              <w:numPr>
                <w:ilvl w:val="0"/>
                <w:numId w:val="0"/>
              </w:numPr>
            </w:pPr>
            <w:r>
              <w:rPr>
                <w:i w:val="0"/>
              </w:rPr>
              <w:lastRenderedPageBreak/>
              <w:t>Could reduce some of the operating risks faced by smaller Funds.</w:t>
            </w:r>
            <w:r w:rsidR="00616BC9" w:rsidRPr="00C22506">
              <w:t xml:space="preserve"> </w:t>
            </w:r>
          </w:p>
          <w:p w:rsidR="00616BC9" w:rsidRDefault="00616BC9" w:rsidP="00C22506">
            <w:pPr>
              <w:pStyle w:val="Question"/>
            </w:pPr>
            <w:r w:rsidRPr="00C22506">
              <w:t xml:space="preserve">What would be the positive impacts? </w:t>
            </w:r>
          </w:p>
          <w:p w:rsidR="00861452" w:rsidRPr="00861452" w:rsidRDefault="00861452" w:rsidP="00861452">
            <w:pPr>
              <w:rPr>
                <w:lang w:val="en-US"/>
              </w:rPr>
            </w:pPr>
            <w:r>
              <w:rPr>
                <w:lang w:val="en-US"/>
              </w:rPr>
              <w:t>Greater concentration of specialist, skilled roles could lead to better control and management of risks.</w:t>
            </w:r>
          </w:p>
          <w:p w:rsidR="00616BC9" w:rsidRDefault="00616BC9" w:rsidP="00C22506">
            <w:pPr>
              <w:pStyle w:val="Question"/>
            </w:pPr>
            <w:r w:rsidRPr="00C22506">
              <w:t>What would be the negative impacts?</w:t>
            </w:r>
          </w:p>
          <w:p w:rsidR="00861452" w:rsidRPr="00861452" w:rsidRDefault="00861452" w:rsidP="00861452">
            <w:pPr>
              <w:rPr>
                <w:lang w:val="en-US"/>
              </w:rPr>
            </w:pPr>
            <w:r>
              <w:rPr>
                <w:lang w:val="en-US"/>
              </w:rPr>
              <w:t>Could be a greater concentration of investment risk and scheme members feel more remote from decision making.</w:t>
            </w:r>
          </w:p>
          <w:p w:rsidR="00616BC9" w:rsidRPr="002541D9" w:rsidRDefault="00616BC9" w:rsidP="00107B80">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861452" w:rsidRPr="00861452" w:rsidRDefault="00861452" w:rsidP="00861452">
            <w:pPr>
              <w:rPr>
                <w:lang w:val="en-US"/>
              </w:rPr>
            </w:pPr>
            <w:r>
              <w:rPr>
                <w:lang w:val="en-US"/>
              </w:rPr>
              <w:t>Potential to invest in larger scale infrastructure projects if this is in line with the merged funds investment strategy.</w:t>
            </w:r>
          </w:p>
          <w:p w:rsidR="00616BC9" w:rsidRDefault="00616BC9" w:rsidP="00C22506">
            <w:pPr>
              <w:pStyle w:val="Question"/>
            </w:pPr>
            <w:r w:rsidRPr="00C22506">
              <w:t xml:space="preserve">What would be the positive impacts? </w:t>
            </w:r>
          </w:p>
          <w:p w:rsidR="00861452" w:rsidRPr="00861452" w:rsidRDefault="00861452" w:rsidP="00861452">
            <w:pPr>
              <w:rPr>
                <w:lang w:val="en-US"/>
              </w:rPr>
            </w:pPr>
            <w:r>
              <w:rPr>
                <w:lang w:val="en-US"/>
              </w:rPr>
              <w:t>Potential for increased investment.</w:t>
            </w:r>
            <w:r w:rsidR="00174DFA">
              <w:rPr>
                <w:lang w:val="en-US"/>
              </w:rPr>
              <w:t xml:space="preserve"> </w:t>
            </w:r>
          </w:p>
          <w:p w:rsidR="00616BC9" w:rsidRDefault="00616BC9" w:rsidP="00C22506">
            <w:pPr>
              <w:pStyle w:val="Question"/>
            </w:pPr>
            <w:r w:rsidRPr="00C22506">
              <w:t>What would be the negative impacts?</w:t>
            </w:r>
          </w:p>
          <w:p w:rsidR="00174DFA" w:rsidRPr="00174DFA" w:rsidRDefault="00174DFA" w:rsidP="00174DFA">
            <w:pPr>
              <w:rPr>
                <w:lang w:val="en-US"/>
              </w:rPr>
            </w:pPr>
            <w:r>
              <w:rPr>
                <w:lang w:val="en-US"/>
              </w:rPr>
              <w:t>Larger investments may result in more concentrated risk.</w:t>
            </w:r>
          </w:p>
          <w:p w:rsidR="00616BC9" w:rsidRDefault="00616BC9" w:rsidP="00107B80">
            <w:pPr>
              <w:pStyle w:val="ListNumber"/>
            </w:pPr>
            <w:r>
              <w:t>Do you have any additional comments about this option?</w:t>
            </w:r>
          </w:p>
          <w:p w:rsidR="00616BC9" w:rsidRDefault="00107B80" w:rsidP="000C4E12">
            <w:r>
              <w:t>Modelling of this option should include impact on the affordability of the LGPS in the medium and long term.</w:t>
            </w:r>
          </w:p>
          <w:p w:rsidR="00616BC9" w:rsidRDefault="00616BC9" w:rsidP="001B700D"/>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1B700D">
        <w:tc>
          <w:tcPr>
            <w:tcW w:w="9180" w:type="dxa"/>
          </w:tcPr>
          <w:p w:rsidR="00616BC9" w:rsidRDefault="00616BC9" w:rsidP="00107B80">
            <w:pPr>
              <w:pStyle w:val="ListNumber"/>
              <w:numPr>
                <w:ilvl w:val="0"/>
                <w:numId w:val="9"/>
              </w:numPr>
            </w:pPr>
            <w:r>
              <w:t>Which option does your organisation prefer? Please explain your preference.</w:t>
            </w:r>
          </w:p>
          <w:p w:rsidR="00174DFA" w:rsidRDefault="00107B80" w:rsidP="00107B80">
            <w:pPr>
              <w:pStyle w:val="ListNumber"/>
            </w:pPr>
            <w:r>
              <w:t xml:space="preserve">Subject to development of a business case for change </w:t>
            </w:r>
            <w:r w:rsidR="00934EBC">
              <w:t>CHS</w:t>
            </w:r>
            <w:r>
              <w:t xml:space="preserve"> would support the creation of a structure that created a smaller number of </w:t>
            </w:r>
            <w:r w:rsidR="00BC177D">
              <w:t xml:space="preserve">merged </w:t>
            </w:r>
            <w:r>
              <w:t xml:space="preserve">funds in Scotland that could deliver the benefits of scale enjoyed by Strathclyde Pension Fund. </w:t>
            </w:r>
            <w:r w:rsidR="00BC177D">
              <w:t>Any revised structure should secure</w:t>
            </w:r>
            <w:r>
              <w:t xml:space="preserve"> the benefits of concentrating and developing skilled </w:t>
            </w:r>
            <w:r w:rsidR="00BC177D">
              <w:t xml:space="preserve">resources in fund management and oversight and enable effective engagement by members and employers </w:t>
            </w:r>
          </w:p>
          <w:p w:rsidR="00C22506" w:rsidRDefault="00C22506" w:rsidP="00C22506"/>
          <w:p w:rsidR="00616BC9" w:rsidRDefault="00616BC9" w:rsidP="00107B80">
            <w:pPr>
              <w:pStyle w:val="ListNumber"/>
              <w:numPr>
                <w:ilvl w:val="0"/>
                <w:numId w:val="9"/>
              </w:numPr>
            </w:pPr>
            <w:r w:rsidRPr="00604047">
              <w:t>What other options should be considered for the future structure of the LGPS?</w:t>
            </w:r>
          </w:p>
          <w:p w:rsidR="00C22506" w:rsidRDefault="00BC177D" w:rsidP="00C22506">
            <w:r>
              <w:t xml:space="preserve">Short of creating a smaller number of merged funds structural change that facilitated greater collaboration between funds would be supported by </w:t>
            </w:r>
            <w:r w:rsidR="00934EBC">
              <w:t>CHS</w:t>
            </w:r>
            <w:r>
              <w:t xml:space="preserve"> where it could be demonstrated that it would deliver benefits for scheme members and employers.</w:t>
            </w:r>
          </w:p>
          <w:p w:rsidR="00616BC9" w:rsidRDefault="00616BC9" w:rsidP="00107B80">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22506" w:rsidRDefault="00BC177D" w:rsidP="00C22506">
            <w:r>
              <w:t>Subject to development of a business case, collaboration may deliver sooner on benefits for scheme members and employers than some of the larger, wholesale scheme changes.</w:t>
            </w:r>
          </w:p>
          <w:p w:rsidR="00616BC9" w:rsidRDefault="00616BC9" w:rsidP="00107B80">
            <w:pPr>
              <w:pStyle w:val="ListNumber"/>
              <w:numPr>
                <w:ilvl w:val="0"/>
                <w:numId w:val="9"/>
              </w:numPr>
            </w:pPr>
            <w:r>
              <w:t>Are there any other comments you would like to make?</w:t>
            </w:r>
          </w:p>
          <w:p w:rsidR="00C22506" w:rsidRDefault="00934EBC" w:rsidP="00C22506">
            <w:r>
              <w:t>The impact of change on the affordability of the scheme for smaller public body employers</w:t>
            </w:r>
            <w:r w:rsidR="00BC282F">
              <w:t>,</w:t>
            </w:r>
            <w:r>
              <w:t xml:space="preserve"> charit</w:t>
            </w:r>
            <w:r w:rsidR="00BC282F">
              <w:t>y and third sector o</w:t>
            </w:r>
            <w:r>
              <w:t xml:space="preserve">rganisations should be a consideration in any business case for a changed structure. </w:t>
            </w:r>
            <w:r w:rsidR="00BC282F">
              <w:t xml:space="preserve">Also the timing of Brexit changes may impact on transition planning for any major scheme changes. </w:t>
            </w:r>
          </w:p>
          <w:p w:rsidR="00616BC9" w:rsidRDefault="00616BC9" w:rsidP="001B700D"/>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25" w:rsidRDefault="00134C25" w:rsidP="009A675B">
      <w:pPr>
        <w:spacing w:after="0"/>
      </w:pPr>
      <w:r>
        <w:separator/>
      </w:r>
    </w:p>
  </w:endnote>
  <w:endnote w:type="continuationSeparator" w:id="0">
    <w:p w:rsidR="00134C25" w:rsidRDefault="00134C25"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B" w:rsidRDefault="009A675B" w:rsidP="009A675B">
    <w:pPr>
      <w:pStyle w:val="Footer"/>
      <w:jc w:val="right"/>
    </w:pPr>
    <w:r>
      <w:t xml:space="preserve">Page </w:t>
    </w:r>
    <w:r>
      <w:fldChar w:fldCharType="begin"/>
    </w:r>
    <w:r>
      <w:instrText xml:space="preserve"> PAGE   \* MERGEFORMAT </w:instrText>
    </w:r>
    <w:r>
      <w:fldChar w:fldCharType="separate"/>
    </w:r>
    <w:r w:rsidR="00721E0F">
      <w:rPr>
        <w:noProof/>
      </w:rPr>
      <w:t>2</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721E0F">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25" w:rsidRDefault="00134C25" w:rsidP="009A675B">
      <w:pPr>
        <w:spacing w:after="0"/>
      </w:pPr>
      <w:r>
        <w:separator/>
      </w:r>
    </w:p>
  </w:footnote>
  <w:footnote w:type="continuationSeparator" w:id="0">
    <w:p w:rsidR="00134C25" w:rsidRDefault="00134C25"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95FE2"/>
    <w:rsid w:val="000C4E12"/>
    <w:rsid w:val="000D327C"/>
    <w:rsid w:val="00107B80"/>
    <w:rsid w:val="00121658"/>
    <w:rsid w:val="00134C25"/>
    <w:rsid w:val="00174DFA"/>
    <w:rsid w:val="0026669A"/>
    <w:rsid w:val="00287529"/>
    <w:rsid w:val="002927F9"/>
    <w:rsid w:val="002A405D"/>
    <w:rsid w:val="002E3B85"/>
    <w:rsid w:val="002E66DD"/>
    <w:rsid w:val="00381C9F"/>
    <w:rsid w:val="00422809"/>
    <w:rsid w:val="004B2A40"/>
    <w:rsid w:val="004D2F48"/>
    <w:rsid w:val="004F6682"/>
    <w:rsid w:val="00513272"/>
    <w:rsid w:val="00540254"/>
    <w:rsid w:val="005B6AD2"/>
    <w:rsid w:val="005E438B"/>
    <w:rsid w:val="00616BC9"/>
    <w:rsid w:val="00656DB2"/>
    <w:rsid w:val="00684FCD"/>
    <w:rsid w:val="006A555E"/>
    <w:rsid w:val="00721E0F"/>
    <w:rsid w:val="007448DE"/>
    <w:rsid w:val="00750676"/>
    <w:rsid w:val="0077704F"/>
    <w:rsid w:val="007E570E"/>
    <w:rsid w:val="00827FED"/>
    <w:rsid w:val="008367CC"/>
    <w:rsid w:val="00847C9C"/>
    <w:rsid w:val="00861452"/>
    <w:rsid w:val="009060E7"/>
    <w:rsid w:val="00934EBC"/>
    <w:rsid w:val="00970822"/>
    <w:rsid w:val="009A5FC0"/>
    <w:rsid w:val="009A675B"/>
    <w:rsid w:val="009D4F44"/>
    <w:rsid w:val="00A54575"/>
    <w:rsid w:val="00AC4B08"/>
    <w:rsid w:val="00B3217A"/>
    <w:rsid w:val="00BB20B4"/>
    <w:rsid w:val="00BC177D"/>
    <w:rsid w:val="00BC282F"/>
    <w:rsid w:val="00BD43C8"/>
    <w:rsid w:val="00C22506"/>
    <w:rsid w:val="00CA5F85"/>
    <w:rsid w:val="00CB2A52"/>
    <w:rsid w:val="00D32732"/>
    <w:rsid w:val="00D669C5"/>
    <w:rsid w:val="00D85D14"/>
    <w:rsid w:val="00D91E43"/>
    <w:rsid w:val="00E44DE6"/>
    <w:rsid w:val="00E61E31"/>
    <w:rsid w:val="00E66357"/>
    <w:rsid w:val="00E74842"/>
    <w:rsid w:val="00F47281"/>
    <w:rsid w:val="00F61CB8"/>
    <w:rsid w:val="00FC3F53"/>
    <w:rsid w:val="00FD356E"/>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6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107B80"/>
    <w:pPr>
      <w:ind w:left="68"/>
    </w:pPr>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customStyle="1" w:styleId="Default">
    <w:name w:val="Default"/>
    <w:rsid w:val="007448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C547-DFEC-4AFD-A4F1-104BA9FF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2018-12-06T15:46:00Z</dcterms:created>
  <dcterms:modified xsi:type="dcterms:W3CDTF">2018-12-06T15:46:00Z</dcterms:modified>
</cp:coreProperties>
</file>