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790FE" w14:textId="055C2904" w:rsidR="0026669A" w:rsidRPr="0025081E" w:rsidRDefault="0026669A" w:rsidP="00C22506">
      <w:pPr>
        <w:pStyle w:val="Heading2"/>
      </w:pPr>
      <w:r w:rsidRPr="0025081E">
        <w:t xml:space="preserve">Review of the Structure of the Scottish Local Government Pension </w:t>
      </w:r>
      <w:r w:rsidR="00D669C5">
        <w:t>Scheme</w:t>
      </w:r>
    </w:p>
    <w:p w14:paraId="2C9790FF" w14:textId="77777777"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14:paraId="2C979103" w14:textId="77777777" w:rsidTr="00540254">
        <w:trPr>
          <w:trHeight w:val="3300"/>
        </w:trPr>
        <w:tc>
          <w:tcPr>
            <w:tcW w:w="9320" w:type="dxa"/>
            <w:shd w:val="clear" w:color="auto" w:fill="D9D9D9" w:themeFill="background1" w:themeFillShade="D9"/>
          </w:tcPr>
          <w:p w14:paraId="2C979100" w14:textId="77777777" w:rsidR="00E66357" w:rsidRDefault="00E66357" w:rsidP="00E66357">
            <w:pPr>
              <w:spacing w:after="0"/>
              <w:ind w:left="102"/>
              <w:rPr>
                <w:b/>
              </w:rPr>
            </w:pPr>
          </w:p>
          <w:p w14:paraId="2C979101" w14:textId="77777777"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14:paraId="2C979102" w14:textId="77777777"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14:paraId="2C979104" w14:textId="77777777" w:rsidR="00540254" w:rsidRDefault="00540254" w:rsidP="0026669A">
      <w:pPr>
        <w:rPr>
          <w:b/>
        </w:rPr>
      </w:pPr>
    </w:p>
    <w:p w14:paraId="2C979105" w14:textId="77777777"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0"/>
        <w:gridCol w:w="2806"/>
      </w:tblGrid>
      <w:tr w:rsidR="00E61E31" w14:paraId="2C979108" w14:textId="77777777" w:rsidTr="00AB321D">
        <w:trPr>
          <w:trHeight w:val="1892"/>
        </w:trPr>
        <w:tc>
          <w:tcPr>
            <w:tcW w:w="6221" w:type="dxa"/>
            <w:tcBorders>
              <w:top w:val="nil"/>
              <w:left w:val="nil"/>
              <w:bottom w:val="single" w:sz="4" w:space="0" w:color="auto"/>
              <w:right w:val="nil"/>
            </w:tcBorders>
          </w:tcPr>
          <w:p w14:paraId="2C979106" w14:textId="77777777" w:rsidR="00E61E31" w:rsidRDefault="00E61E31" w:rsidP="0026669A">
            <w:r w:rsidRPr="00E61E31">
              <w:rPr>
                <w:b/>
              </w:rPr>
              <w:t>Name of responding organisation(s)</w:t>
            </w:r>
            <w:r w:rsidRPr="00E61E31">
              <w:rPr>
                <w:b/>
              </w:rPr>
              <w:br/>
            </w:r>
            <w:r w:rsidRPr="00513272">
              <w:t>Please list the full name of each</w:t>
            </w:r>
            <w:r>
              <w:t xml:space="preserve"> organisation</w:t>
            </w:r>
            <w:r w:rsidR="00E66357">
              <w:br/>
            </w:r>
            <w:r>
              <w:t>participating in this response</w:t>
            </w:r>
            <w:r w:rsidR="00E66357">
              <w:t>.</w:t>
            </w:r>
          </w:p>
        </w:tc>
        <w:tc>
          <w:tcPr>
            <w:tcW w:w="2805" w:type="dxa"/>
            <w:tcBorders>
              <w:top w:val="nil"/>
              <w:left w:val="nil"/>
              <w:bottom w:val="single" w:sz="4" w:space="0" w:color="auto"/>
              <w:right w:val="nil"/>
            </w:tcBorders>
          </w:tcPr>
          <w:p w14:paraId="2C979107" w14:textId="77777777"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14:paraId="2C97910D" w14:textId="77777777" w:rsidTr="009A675B">
        <w:tc>
          <w:tcPr>
            <w:tcW w:w="6345" w:type="dxa"/>
            <w:tcBorders>
              <w:bottom w:val="single" w:sz="4" w:space="0" w:color="auto"/>
            </w:tcBorders>
          </w:tcPr>
          <w:p w14:paraId="2C979109" w14:textId="77777777" w:rsidR="00E61E31" w:rsidRPr="009A675B" w:rsidRDefault="00616BC9" w:rsidP="00F94895">
            <w:r>
              <w:t>f</w:t>
            </w:r>
            <w:r w:rsidR="00E66357">
              <w:t xml:space="preserve">ull </w:t>
            </w:r>
            <w:r w:rsidR="009A675B" w:rsidRPr="009A675B">
              <w:t>names of responding organisations</w:t>
            </w:r>
          </w:p>
          <w:p w14:paraId="2C97910A" w14:textId="77777777" w:rsidR="00E61E31" w:rsidRPr="00F94895" w:rsidRDefault="00F94895" w:rsidP="00F94895">
            <w:pPr>
              <w:rPr>
                <w:b/>
              </w:rPr>
            </w:pPr>
            <w:r>
              <w:rPr>
                <w:b/>
              </w:rPr>
              <w:t>Glasgow City Council (</w:t>
            </w:r>
            <w:r w:rsidRPr="00F94895">
              <w:rPr>
                <w:b/>
              </w:rPr>
              <w:t>Strathclyde Pension Fund</w:t>
            </w:r>
            <w:r>
              <w:rPr>
                <w:b/>
              </w:rPr>
              <w:t>)</w:t>
            </w:r>
          </w:p>
        </w:tc>
        <w:tc>
          <w:tcPr>
            <w:tcW w:w="2835" w:type="dxa"/>
            <w:tcBorders>
              <w:bottom w:val="single" w:sz="4" w:space="0" w:color="auto"/>
            </w:tcBorders>
          </w:tcPr>
          <w:p w14:paraId="2C97910B" w14:textId="77777777" w:rsidR="00F94895" w:rsidRDefault="00F94895" w:rsidP="00F94895">
            <w:pPr>
              <w:rPr>
                <w:b/>
              </w:rPr>
            </w:pPr>
          </w:p>
          <w:p w14:paraId="2C97910C" w14:textId="77777777" w:rsidR="00E61E31" w:rsidRPr="00F94895" w:rsidRDefault="00F94895" w:rsidP="00F94895">
            <w:pPr>
              <w:rPr>
                <w:b/>
                <w:color w:val="BFBFBF" w:themeColor="background1" w:themeShade="BF"/>
              </w:rPr>
            </w:pPr>
            <w:r w:rsidRPr="00F94895">
              <w:rPr>
                <w:b/>
              </w:rPr>
              <w:t xml:space="preserve">Administering </w:t>
            </w:r>
            <w:r>
              <w:rPr>
                <w:b/>
              </w:rPr>
              <w:t>A</w:t>
            </w:r>
            <w:r w:rsidRPr="00F94895">
              <w:rPr>
                <w:b/>
              </w:rPr>
              <w:t>uthority</w:t>
            </w:r>
          </w:p>
        </w:tc>
      </w:tr>
      <w:tr w:rsidR="00E61E31" w14:paraId="2C979112" w14:textId="77777777" w:rsidTr="009A675B">
        <w:tc>
          <w:tcPr>
            <w:tcW w:w="6345" w:type="dxa"/>
            <w:tcBorders>
              <w:top w:val="single" w:sz="4" w:space="0" w:color="auto"/>
              <w:left w:val="nil"/>
              <w:right w:val="nil"/>
            </w:tcBorders>
          </w:tcPr>
          <w:p w14:paraId="2C97910E" w14:textId="77777777" w:rsidR="009A675B" w:rsidRDefault="009A675B" w:rsidP="00E61E31"/>
          <w:p w14:paraId="2C97910F" w14:textId="77777777"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14:paraId="2C979110" w14:textId="77777777" w:rsidR="009A675B" w:rsidRDefault="009A675B" w:rsidP="00D91E43"/>
          <w:p w14:paraId="2C979111" w14:textId="77777777"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14:paraId="2C979116" w14:textId="77777777" w:rsidTr="00513272">
        <w:tc>
          <w:tcPr>
            <w:tcW w:w="6345" w:type="dxa"/>
            <w:tcBorders>
              <w:bottom w:val="single" w:sz="4" w:space="0" w:color="auto"/>
            </w:tcBorders>
          </w:tcPr>
          <w:p w14:paraId="2C979113" w14:textId="77777777" w:rsidR="00E61E31" w:rsidRPr="00F94895" w:rsidRDefault="00F94895" w:rsidP="00F94895">
            <w:pPr>
              <w:rPr>
                <w:b/>
              </w:rPr>
            </w:pPr>
            <w:r w:rsidRPr="00F94895">
              <w:rPr>
                <w:b/>
              </w:rPr>
              <w:t xml:space="preserve">Richard McIndoe, Director  </w:t>
            </w:r>
          </w:p>
          <w:p w14:paraId="2C979114" w14:textId="77777777" w:rsidR="009A675B" w:rsidRDefault="009A675B" w:rsidP="0026669A"/>
        </w:tc>
        <w:tc>
          <w:tcPr>
            <w:tcW w:w="2835" w:type="dxa"/>
            <w:tcBorders>
              <w:bottom w:val="single" w:sz="4" w:space="0" w:color="auto"/>
            </w:tcBorders>
          </w:tcPr>
          <w:p w14:paraId="2C979115" w14:textId="77777777" w:rsidR="00E61E31" w:rsidRPr="00F94895" w:rsidRDefault="00F94895" w:rsidP="00F94895">
            <w:pPr>
              <w:rPr>
                <w:b/>
              </w:rPr>
            </w:pPr>
            <w:r w:rsidRPr="00F94895">
              <w:rPr>
                <w:b/>
              </w:rPr>
              <w:t>confirm</w:t>
            </w:r>
          </w:p>
        </w:tc>
      </w:tr>
      <w:tr w:rsidR="00513272" w14:paraId="2C979119" w14:textId="77777777" w:rsidTr="00513272">
        <w:tc>
          <w:tcPr>
            <w:tcW w:w="6345" w:type="dxa"/>
            <w:tcBorders>
              <w:left w:val="nil"/>
              <w:bottom w:val="nil"/>
              <w:right w:val="nil"/>
            </w:tcBorders>
          </w:tcPr>
          <w:p w14:paraId="2C979117" w14:textId="77777777"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14:paraId="2C979118" w14:textId="77777777" w:rsidR="00513272" w:rsidRPr="009A675B" w:rsidRDefault="00513272" w:rsidP="0026669A">
            <w:pPr>
              <w:rPr>
                <w:color w:val="BFBFBF" w:themeColor="background1" w:themeShade="BF"/>
              </w:rPr>
            </w:pPr>
          </w:p>
        </w:tc>
      </w:tr>
      <w:tr w:rsidR="00E61E31" w14:paraId="2C97911C" w14:textId="77777777" w:rsidTr="00513272">
        <w:tc>
          <w:tcPr>
            <w:tcW w:w="6345" w:type="dxa"/>
            <w:tcBorders>
              <w:top w:val="nil"/>
              <w:left w:val="nil"/>
              <w:bottom w:val="nil"/>
            </w:tcBorders>
          </w:tcPr>
          <w:p w14:paraId="2C97911A" w14:textId="77777777" w:rsidR="00E61E31" w:rsidRDefault="00513272" w:rsidP="00E61E31">
            <w:r w:rsidRPr="00513272">
              <w:rPr>
                <w:b/>
              </w:rPr>
              <w:lastRenderedPageBreak/>
              <w:t>Date</w:t>
            </w:r>
            <w:r>
              <w:br/>
            </w:r>
            <w:r w:rsidR="00E61E31">
              <w:t>Please date the response</w:t>
            </w:r>
            <w:r w:rsidR="00E66357">
              <w:t>.</w:t>
            </w:r>
          </w:p>
        </w:tc>
        <w:tc>
          <w:tcPr>
            <w:tcW w:w="2835" w:type="dxa"/>
            <w:tcBorders>
              <w:top w:val="single" w:sz="4" w:space="0" w:color="auto"/>
              <w:bottom w:val="single" w:sz="4" w:space="0" w:color="auto"/>
            </w:tcBorders>
          </w:tcPr>
          <w:p w14:paraId="2C97911B" w14:textId="3D951C33" w:rsidR="00E61E31" w:rsidRDefault="00DD4E14" w:rsidP="0026669A">
            <w:r w:rsidRPr="009A675B">
              <w:rPr>
                <w:color w:val="BFBFBF" w:themeColor="background1" w:themeShade="BF"/>
              </w:rPr>
              <w:t>D</w:t>
            </w:r>
            <w:r w:rsidR="009A675B" w:rsidRPr="009A675B">
              <w:rPr>
                <w:color w:val="BFBFBF" w:themeColor="background1" w:themeShade="BF"/>
              </w:rPr>
              <w:t>ate</w:t>
            </w:r>
            <w:r>
              <w:rPr>
                <w:color w:val="BFBFBF" w:themeColor="background1" w:themeShade="BF"/>
              </w:rPr>
              <w:t xml:space="preserve"> 06.12.2018</w:t>
            </w:r>
          </w:p>
        </w:tc>
        <w:bookmarkStart w:id="0" w:name="_GoBack"/>
        <w:bookmarkEnd w:id="0"/>
      </w:tr>
      <w:tr w:rsidR="00E61E31" w14:paraId="2C979120" w14:textId="77777777" w:rsidTr="009A675B">
        <w:tc>
          <w:tcPr>
            <w:tcW w:w="9180" w:type="dxa"/>
            <w:gridSpan w:val="2"/>
            <w:tcBorders>
              <w:top w:val="nil"/>
              <w:left w:val="nil"/>
              <w:right w:val="nil"/>
            </w:tcBorders>
          </w:tcPr>
          <w:p w14:paraId="2C97911F" w14:textId="77777777"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14:paraId="2C979124" w14:textId="77777777" w:rsidTr="00AB321D">
        <w:tc>
          <w:tcPr>
            <w:tcW w:w="9026" w:type="dxa"/>
            <w:gridSpan w:val="2"/>
          </w:tcPr>
          <w:p w14:paraId="1B8EDFEF" w14:textId="65D887C6" w:rsidR="00866DCD" w:rsidRPr="006018C2" w:rsidRDefault="00866DCD" w:rsidP="00866DCD">
            <w:pPr>
              <w:rPr>
                <w:color w:val="17365D" w:themeColor="text2" w:themeShade="BF"/>
              </w:rPr>
            </w:pPr>
            <w:r w:rsidRPr="006018C2">
              <w:rPr>
                <w:color w:val="17365D" w:themeColor="text2" w:themeShade="BF"/>
              </w:rPr>
              <w:t>Glasgow City Council is the Administering Authority for the Strathclyde Pension Fund.</w:t>
            </w:r>
          </w:p>
          <w:p w14:paraId="3B688DE0" w14:textId="5681263C" w:rsidR="00866DCD" w:rsidRPr="006018C2" w:rsidRDefault="00866DCD" w:rsidP="00866DCD">
            <w:pPr>
              <w:rPr>
                <w:color w:val="17365D" w:themeColor="text2" w:themeShade="BF"/>
              </w:rPr>
            </w:pPr>
            <w:r w:rsidRPr="006018C2">
              <w:rPr>
                <w:color w:val="17365D" w:themeColor="text2" w:themeShade="BF"/>
              </w:rPr>
              <w:t>Key figures for the Strathclyde Pension Fund as at 30</w:t>
            </w:r>
            <w:r w:rsidRPr="006018C2">
              <w:rPr>
                <w:color w:val="17365D" w:themeColor="text2" w:themeShade="BF"/>
                <w:vertAlign w:val="superscript"/>
              </w:rPr>
              <w:t>th</w:t>
            </w:r>
            <w:r w:rsidRPr="006018C2">
              <w:rPr>
                <w:color w:val="17365D" w:themeColor="text2" w:themeShade="BF"/>
              </w:rPr>
              <w:t xml:space="preserve"> </w:t>
            </w:r>
            <w:r w:rsidR="00DF59AA">
              <w:rPr>
                <w:color w:val="17365D" w:themeColor="text2" w:themeShade="BF"/>
              </w:rPr>
              <w:t>September</w:t>
            </w:r>
            <w:r w:rsidRPr="006018C2">
              <w:rPr>
                <w:color w:val="17365D" w:themeColor="text2" w:themeShade="BF"/>
              </w:rPr>
              <w:t xml:space="preserve"> 201</w:t>
            </w:r>
            <w:r w:rsidR="00BD075E">
              <w:rPr>
                <w:color w:val="17365D" w:themeColor="text2" w:themeShade="BF"/>
              </w:rPr>
              <w:t>8</w:t>
            </w:r>
            <w:r w:rsidRPr="006018C2">
              <w:rPr>
                <w:color w:val="17365D" w:themeColor="text2" w:themeShade="BF"/>
              </w:rPr>
              <w:t xml:space="preserve"> are as follows.</w:t>
            </w:r>
          </w:p>
          <w:tbl>
            <w:tblPr>
              <w:tblStyle w:val="TableGrid"/>
              <w:tblW w:w="0" w:type="auto"/>
              <w:tblLook w:val="04A0" w:firstRow="1" w:lastRow="0" w:firstColumn="1" w:lastColumn="0" w:noHBand="0" w:noVBand="1"/>
            </w:tblPr>
            <w:tblGrid>
              <w:gridCol w:w="2014"/>
              <w:gridCol w:w="6662"/>
            </w:tblGrid>
            <w:tr w:rsidR="00866DCD" w14:paraId="54D17A87" w14:textId="77777777" w:rsidTr="00710F96">
              <w:tc>
                <w:tcPr>
                  <w:tcW w:w="2014" w:type="dxa"/>
                  <w:tcBorders>
                    <w:top w:val="single" w:sz="4" w:space="0" w:color="auto"/>
                    <w:left w:val="single" w:sz="4" w:space="0" w:color="auto"/>
                    <w:bottom w:val="nil"/>
                    <w:right w:val="single" w:sz="4" w:space="0" w:color="auto"/>
                  </w:tcBorders>
                </w:tcPr>
                <w:p w14:paraId="7C351FCD" w14:textId="0D48964E" w:rsidR="00866DCD" w:rsidRPr="004E4C4C" w:rsidRDefault="00710F96" w:rsidP="00710F96">
                  <w:pPr>
                    <w:rPr>
                      <w:b/>
                      <w:color w:val="17365D" w:themeColor="text2" w:themeShade="BF"/>
                    </w:rPr>
                  </w:pPr>
                  <w:r w:rsidRPr="004E4C4C">
                    <w:rPr>
                      <w:b/>
                      <w:color w:val="17365D" w:themeColor="text2" w:themeShade="BF"/>
                    </w:rPr>
                    <w:t>Membership</w:t>
                  </w:r>
                </w:p>
              </w:tc>
              <w:tc>
                <w:tcPr>
                  <w:tcW w:w="6662" w:type="dxa"/>
                  <w:tcBorders>
                    <w:top w:val="single" w:sz="4" w:space="0" w:color="auto"/>
                    <w:left w:val="single" w:sz="4" w:space="0" w:color="auto"/>
                    <w:bottom w:val="nil"/>
                    <w:right w:val="single" w:sz="4" w:space="0" w:color="auto"/>
                  </w:tcBorders>
                </w:tcPr>
                <w:p w14:paraId="1D11F42F" w14:textId="517B4CF8" w:rsidR="00866DCD" w:rsidRPr="004E4C4C" w:rsidRDefault="00013569" w:rsidP="00DF59AA">
                  <w:pPr>
                    <w:rPr>
                      <w:color w:val="17365D" w:themeColor="text2" w:themeShade="BF"/>
                      <w:sz w:val="24"/>
                      <w:szCs w:val="24"/>
                    </w:rPr>
                  </w:pPr>
                  <w:r w:rsidRPr="004E4C4C">
                    <w:rPr>
                      <w:color w:val="17365D" w:themeColor="text2" w:themeShade="BF"/>
                      <w:sz w:val="24"/>
                      <w:szCs w:val="24"/>
                    </w:rPr>
                    <w:t xml:space="preserve">Employee </w:t>
                  </w:r>
                  <w:r w:rsidR="0079185B">
                    <w:rPr>
                      <w:color w:val="17365D" w:themeColor="text2" w:themeShade="BF"/>
                      <w:sz w:val="24"/>
                      <w:szCs w:val="24"/>
                    </w:rPr>
                    <w:t>members</w:t>
                  </w:r>
                  <w:r w:rsidRPr="004E4C4C">
                    <w:rPr>
                      <w:color w:val="17365D" w:themeColor="text2" w:themeShade="BF"/>
                      <w:sz w:val="24"/>
                      <w:szCs w:val="24"/>
                    </w:rPr>
                    <w:t xml:space="preserve">  </w:t>
                  </w:r>
                  <w:r w:rsidR="00F900A9" w:rsidRPr="004E4C4C">
                    <w:rPr>
                      <w:color w:val="17365D" w:themeColor="text2" w:themeShade="BF"/>
                      <w:sz w:val="24"/>
                      <w:szCs w:val="24"/>
                    </w:rPr>
                    <w:t>9</w:t>
                  </w:r>
                  <w:r w:rsidR="00DF59AA">
                    <w:rPr>
                      <w:color w:val="17365D" w:themeColor="text2" w:themeShade="BF"/>
                      <w:sz w:val="24"/>
                      <w:szCs w:val="24"/>
                    </w:rPr>
                    <w:t>6</w:t>
                  </w:r>
                  <w:r w:rsidR="00F900A9" w:rsidRPr="004E4C4C">
                    <w:rPr>
                      <w:color w:val="17365D" w:themeColor="text2" w:themeShade="BF"/>
                      <w:sz w:val="24"/>
                      <w:szCs w:val="24"/>
                    </w:rPr>
                    <w:t>,000</w:t>
                  </w:r>
                </w:p>
              </w:tc>
            </w:tr>
            <w:tr w:rsidR="00866DCD" w14:paraId="08DD913E" w14:textId="77777777" w:rsidTr="00710F96">
              <w:tc>
                <w:tcPr>
                  <w:tcW w:w="2014" w:type="dxa"/>
                  <w:tcBorders>
                    <w:top w:val="nil"/>
                    <w:left w:val="single" w:sz="4" w:space="0" w:color="auto"/>
                    <w:bottom w:val="nil"/>
                    <w:right w:val="single" w:sz="4" w:space="0" w:color="auto"/>
                  </w:tcBorders>
                </w:tcPr>
                <w:p w14:paraId="03566384" w14:textId="3C91DA84" w:rsidR="00866DCD" w:rsidRPr="004E4C4C" w:rsidRDefault="00866DCD" w:rsidP="00F900A9">
                  <w:pPr>
                    <w:jc w:val="right"/>
                    <w:rPr>
                      <w:b/>
                      <w:color w:val="17365D" w:themeColor="text2" w:themeShade="BF"/>
                    </w:rPr>
                  </w:pPr>
                </w:p>
              </w:tc>
              <w:tc>
                <w:tcPr>
                  <w:tcW w:w="6662" w:type="dxa"/>
                  <w:tcBorders>
                    <w:top w:val="nil"/>
                    <w:left w:val="single" w:sz="4" w:space="0" w:color="auto"/>
                    <w:bottom w:val="nil"/>
                    <w:right w:val="single" w:sz="4" w:space="0" w:color="auto"/>
                  </w:tcBorders>
                </w:tcPr>
                <w:p w14:paraId="24346398" w14:textId="53E74367" w:rsidR="00866DCD" w:rsidRPr="004E4C4C" w:rsidRDefault="00013569" w:rsidP="00DF59AA">
                  <w:pPr>
                    <w:rPr>
                      <w:color w:val="17365D" w:themeColor="text2" w:themeShade="BF"/>
                      <w:sz w:val="24"/>
                      <w:szCs w:val="24"/>
                    </w:rPr>
                  </w:pPr>
                  <w:r w:rsidRPr="004E4C4C">
                    <w:rPr>
                      <w:color w:val="17365D" w:themeColor="text2" w:themeShade="BF"/>
                      <w:sz w:val="24"/>
                      <w:szCs w:val="24"/>
                    </w:rPr>
                    <w:t xml:space="preserve">Deferred </w:t>
                  </w:r>
                  <w:r w:rsidR="0079185B">
                    <w:rPr>
                      <w:color w:val="17365D" w:themeColor="text2" w:themeShade="BF"/>
                      <w:sz w:val="24"/>
                      <w:szCs w:val="24"/>
                    </w:rPr>
                    <w:t>members</w:t>
                  </w:r>
                  <w:r w:rsidRPr="004E4C4C">
                    <w:rPr>
                      <w:color w:val="17365D" w:themeColor="text2" w:themeShade="BF"/>
                      <w:sz w:val="24"/>
                      <w:szCs w:val="24"/>
                    </w:rPr>
                    <w:t xml:space="preserve">    </w:t>
                  </w:r>
                  <w:r w:rsidR="00DF59AA">
                    <w:rPr>
                      <w:color w:val="17365D" w:themeColor="text2" w:themeShade="BF"/>
                      <w:sz w:val="24"/>
                      <w:szCs w:val="24"/>
                    </w:rPr>
                    <w:t>62</w:t>
                  </w:r>
                  <w:r w:rsidR="00F900A9" w:rsidRPr="004E4C4C">
                    <w:rPr>
                      <w:color w:val="17365D" w:themeColor="text2" w:themeShade="BF"/>
                      <w:sz w:val="24"/>
                      <w:szCs w:val="24"/>
                    </w:rPr>
                    <w:t>,000</w:t>
                  </w:r>
                </w:p>
              </w:tc>
            </w:tr>
            <w:tr w:rsidR="00866DCD" w14:paraId="7D896970" w14:textId="77777777" w:rsidTr="00710F96">
              <w:tc>
                <w:tcPr>
                  <w:tcW w:w="2014" w:type="dxa"/>
                  <w:tcBorders>
                    <w:top w:val="nil"/>
                    <w:left w:val="single" w:sz="4" w:space="0" w:color="auto"/>
                    <w:bottom w:val="single" w:sz="4" w:space="0" w:color="auto"/>
                    <w:right w:val="single" w:sz="4" w:space="0" w:color="auto"/>
                  </w:tcBorders>
                </w:tcPr>
                <w:p w14:paraId="3719B4E4" w14:textId="4278CCC0" w:rsidR="00866DCD" w:rsidRPr="004E4C4C" w:rsidRDefault="00866DCD" w:rsidP="00F900A9">
                  <w:pPr>
                    <w:jc w:val="right"/>
                    <w:rPr>
                      <w:b/>
                      <w:color w:val="17365D" w:themeColor="text2" w:themeShade="BF"/>
                    </w:rPr>
                  </w:pPr>
                </w:p>
              </w:tc>
              <w:tc>
                <w:tcPr>
                  <w:tcW w:w="6662" w:type="dxa"/>
                  <w:tcBorders>
                    <w:top w:val="nil"/>
                    <w:left w:val="single" w:sz="4" w:space="0" w:color="auto"/>
                    <w:bottom w:val="single" w:sz="4" w:space="0" w:color="auto"/>
                    <w:right w:val="single" w:sz="4" w:space="0" w:color="auto"/>
                  </w:tcBorders>
                </w:tcPr>
                <w:p w14:paraId="126B6AD7" w14:textId="427FC72A" w:rsidR="00866DCD" w:rsidRPr="004E4C4C" w:rsidRDefault="00013569" w:rsidP="006018C2">
                  <w:pPr>
                    <w:rPr>
                      <w:color w:val="17365D" w:themeColor="text2" w:themeShade="BF"/>
                      <w:sz w:val="24"/>
                      <w:szCs w:val="24"/>
                    </w:rPr>
                  </w:pPr>
                  <w:r w:rsidRPr="004E4C4C">
                    <w:rPr>
                      <w:color w:val="17365D" w:themeColor="text2" w:themeShade="BF"/>
                      <w:sz w:val="24"/>
                      <w:szCs w:val="24"/>
                    </w:rPr>
                    <w:t xml:space="preserve">Pensioner </w:t>
                  </w:r>
                  <w:r w:rsidR="0079185B">
                    <w:rPr>
                      <w:color w:val="17365D" w:themeColor="text2" w:themeShade="BF"/>
                      <w:sz w:val="24"/>
                      <w:szCs w:val="24"/>
                    </w:rPr>
                    <w:t>members</w:t>
                  </w:r>
                  <w:r w:rsidRPr="004E4C4C">
                    <w:rPr>
                      <w:color w:val="17365D" w:themeColor="text2" w:themeShade="BF"/>
                      <w:sz w:val="24"/>
                      <w:szCs w:val="24"/>
                    </w:rPr>
                    <w:t xml:space="preserve">  </w:t>
                  </w:r>
                  <w:r w:rsidR="00F900A9" w:rsidRPr="004E4C4C">
                    <w:rPr>
                      <w:color w:val="17365D" w:themeColor="text2" w:themeShade="BF"/>
                      <w:sz w:val="24"/>
                      <w:szCs w:val="24"/>
                    </w:rPr>
                    <w:t>7</w:t>
                  </w:r>
                  <w:r w:rsidR="00DF59AA">
                    <w:rPr>
                      <w:color w:val="17365D" w:themeColor="text2" w:themeShade="BF"/>
                      <w:sz w:val="24"/>
                      <w:szCs w:val="24"/>
                    </w:rPr>
                    <w:t>8</w:t>
                  </w:r>
                  <w:r w:rsidR="00F900A9" w:rsidRPr="004E4C4C">
                    <w:rPr>
                      <w:color w:val="17365D" w:themeColor="text2" w:themeShade="BF"/>
                      <w:sz w:val="24"/>
                      <w:szCs w:val="24"/>
                    </w:rPr>
                    <w:t>,000</w:t>
                  </w:r>
                </w:p>
                <w:p w14:paraId="703D5F99" w14:textId="4D820399" w:rsidR="00710F96" w:rsidRPr="004E4C4C" w:rsidRDefault="00013569" w:rsidP="00DF59AA">
                  <w:pPr>
                    <w:rPr>
                      <w:color w:val="17365D" w:themeColor="text2" w:themeShade="BF"/>
                      <w:sz w:val="24"/>
                      <w:szCs w:val="24"/>
                    </w:rPr>
                  </w:pPr>
                  <w:r w:rsidRPr="004E4C4C">
                    <w:rPr>
                      <w:b/>
                      <w:color w:val="17365D" w:themeColor="text2" w:themeShade="BF"/>
                      <w:sz w:val="24"/>
                      <w:szCs w:val="24"/>
                    </w:rPr>
                    <w:t xml:space="preserve">Total </w:t>
                  </w:r>
                  <w:r w:rsidR="0079185B">
                    <w:rPr>
                      <w:b/>
                      <w:color w:val="17365D" w:themeColor="text2" w:themeShade="BF"/>
                      <w:sz w:val="24"/>
                      <w:szCs w:val="24"/>
                    </w:rPr>
                    <w:t>Membership</w:t>
                  </w:r>
                  <w:r w:rsidRPr="004E4C4C">
                    <w:rPr>
                      <w:b/>
                      <w:color w:val="17365D" w:themeColor="text2" w:themeShade="BF"/>
                      <w:sz w:val="24"/>
                      <w:szCs w:val="24"/>
                    </w:rPr>
                    <w:t xml:space="preserve">  </w:t>
                  </w:r>
                  <w:r w:rsidR="00710F96" w:rsidRPr="004E4C4C">
                    <w:rPr>
                      <w:b/>
                      <w:color w:val="17365D" w:themeColor="text2" w:themeShade="BF"/>
                      <w:sz w:val="24"/>
                      <w:szCs w:val="24"/>
                    </w:rPr>
                    <w:t>23</w:t>
                  </w:r>
                  <w:r w:rsidR="00DF59AA">
                    <w:rPr>
                      <w:b/>
                      <w:color w:val="17365D" w:themeColor="text2" w:themeShade="BF"/>
                      <w:sz w:val="24"/>
                      <w:szCs w:val="24"/>
                    </w:rPr>
                    <w:t>6</w:t>
                  </w:r>
                  <w:r w:rsidR="00710F96" w:rsidRPr="004E4C4C">
                    <w:rPr>
                      <w:b/>
                      <w:color w:val="17365D" w:themeColor="text2" w:themeShade="BF"/>
                      <w:sz w:val="24"/>
                      <w:szCs w:val="24"/>
                    </w:rPr>
                    <w:t>,000</w:t>
                  </w:r>
                </w:p>
              </w:tc>
            </w:tr>
            <w:tr w:rsidR="00F900A9" w14:paraId="7A187539" w14:textId="77777777" w:rsidTr="00F900A9">
              <w:tc>
                <w:tcPr>
                  <w:tcW w:w="2014" w:type="dxa"/>
                </w:tcPr>
                <w:p w14:paraId="66A85D7E" w14:textId="43F9AE74" w:rsidR="00F900A9" w:rsidRPr="004E4C4C" w:rsidRDefault="00F900A9" w:rsidP="00866DCD">
                  <w:pPr>
                    <w:rPr>
                      <w:b/>
                      <w:color w:val="17365D" w:themeColor="text2" w:themeShade="BF"/>
                    </w:rPr>
                  </w:pPr>
                  <w:r w:rsidRPr="004E4C4C">
                    <w:rPr>
                      <w:b/>
                      <w:color w:val="17365D" w:themeColor="text2" w:themeShade="BF"/>
                    </w:rPr>
                    <w:t>Employers</w:t>
                  </w:r>
                </w:p>
              </w:tc>
              <w:tc>
                <w:tcPr>
                  <w:tcW w:w="6662" w:type="dxa"/>
                </w:tcPr>
                <w:p w14:paraId="1B01F18D" w14:textId="5CF70FA0" w:rsidR="00F900A9" w:rsidRPr="004E4C4C" w:rsidRDefault="00DF59AA" w:rsidP="00F900A9">
                  <w:pPr>
                    <w:autoSpaceDE w:val="0"/>
                    <w:autoSpaceDN w:val="0"/>
                    <w:adjustRightInd w:val="0"/>
                    <w:spacing w:after="0"/>
                    <w:rPr>
                      <w:rFonts w:eastAsiaTheme="minorHAnsi" w:cs="Arial"/>
                      <w:b/>
                      <w:color w:val="17365D" w:themeColor="text2" w:themeShade="BF"/>
                      <w:sz w:val="24"/>
                      <w:szCs w:val="24"/>
                    </w:rPr>
                  </w:pPr>
                  <w:r>
                    <w:rPr>
                      <w:rFonts w:eastAsiaTheme="minorHAnsi" w:cs="Arial"/>
                      <w:b/>
                      <w:color w:val="17365D" w:themeColor="text2" w:themeShade="BF"/>
                      <w:sz w:val="24"/>
                      <w:szCs w:val="24"/>
                    </w:rPr>
                    <w:t>173</w:t>
                  </w:r>
                  <w:r w:rsidR="00F900A9" w:rsidRPr="004E4C4C">
                    <w:rPr>
                      <w:rFonts w:eastAsiaTheme="minorHAnsi" w:cs="Arial"/>
                      <w:b/>
                      <w:color w:val="17365D" w:themeColor="text2" w:themeShade="BF"/>
                      <w:sz w:val="24"/>
                      <w:szCs w:val="24"/>
                    </w:rPr>
                    <w:t xml:space="preserve"> </w:t>
                  </w:r>
                </w:p>
                <w:p w14:paraId="6417A4C1" w14:textId="314B9268" w:rsidR="00F900A9" w:rsidRPr="004E4C4C" w:rsidRDefault="00F900A9" w:rsidP="00F900A9">
                  <w:pPr>
                    <w:autoSpaceDE w:val="0"/>
                    <w:autoSpaceDN w:val="0"/>
                    <w:adjustRightInd w:val="0"/>
                    <w:spacing w:after="0"/>
                    <w:rPr>
                      <w:color w:val="17365D" w:themeColor="text2" w:themeShade="BF"/>
                    </w:rPr>
                  </w:pPr>
                  <w:r w:rsidRPr="004E4C4C">
                    <w:rPr>
                      <w:rFonts w:eastAsiaTheme="minorHAnsi" w:cs="Arial"/>
                      <w:color w:val="17365D" w:themeColor="text2" w:themeShade="BF"/>
                      <w:sz w:val="24"/>
                      <w:szCs w:val="24"/>
                    </w:rPr>
                    <w:t>These include the 12 local authorities in the west of Scotland; Police Scotland, Scottish Fire and Rescue, and Scottish Water; a number of universities and colleges; local authority subsidiary companies and contractors; and a wide range of other organisations with funding or service links to the local government sector.</w:t>
                  </w:r>
                </w:p>
              </w:tc>
            </w:tr>
            <w:tr w:rsidR="00F900A9" w14:paraId="57CE2E3E" w14:textId="77777777" w:rsidTr="00F900A9">
              <w:tc>
                <w:tcPr>
                  <w:tcW w:w="2014" w:type="dxa"/>
                </w:tcPr>
                <w:p w14:paraId="039166EB" w14:textId="3B3C5EDF" w:rsidR="00F900A9" w:rsidRPr="004E4C4C" w:rsidRDefault="00F900A9" w:rsidP="00F900A9">
                  <w:pPr>
                    <w:rPr>
                      <w:b/>
                      <w:color w:val="17365D" w:themeColor="text2" w:themeShade="BF"/>
                    </w:rPr>
                  </w:pPr>
                  <w:r w:rsidRPr="004E4C4C">
                    <w:rPr>
                      <w:b/>
                      <w:color w:val="17365D" w:themeColor="text2" w:themeShade="BF"/>
                    </w:rPr>
                    <w:t>Investment Assets</w:t>
                  </w:r>
                </w:p>
              </w:tc>
              <w:tc>
                <w:tcPr>
                  <w:tcW w:w="6662" w:type="dxa"/>
                </w:tcPr>
                <w:p w14:paraId="508E1F82" w14:textId="07B25836" w:rsidR="00F900A9" w:rsidRPr="004E4C4C" w:rsidRDefault="00F900A9" w:rsidP="00F900A9">
                  <w:pPr>
                    <w:rPr>
                      <w:color w:val="17365D" w:themeColor="text2" w:themeShade="BF"/>
                    </w:rPr>
                  </w:pPr>
                  <w:r w:rsidRPr="004E4C4C">
                    <w:rPr>
                      <w:b/>
                      <w:color w:val="17365D" w:themeColor="text2" w:themeShade="BF"/>
                    </w:rPr>
                    <w:t>£21.</w:t>
                  </w:r>
                  <w:r w:rsidR="00DF59AA">
                    <w:rPr>
                      <w:b/>
                      <w:color w:val="17365D" w:themeColor="text2" w:themeShade="BF"/>
                    </w:rPr>
                    <w:t>997</w:t>
                  </w:r>
                  <w:r w:rsidRPr="004E4C4C">
                    <w:rPr>
                      <w:b/>
                      <w:color w:val="17365D" w:themeColor="text2" w:themeShade="BF"/>
                    </w:rPr>
                    <w:t xml:space="preserve"> billion</w:t>
                  </w:r>
                  <w:r w:rsidRPr="004E4C4C">
                    <w:rPr>
                      <w:color w:val="17365D" w:themeColor="text2" w:themeShade="BF"/>
                    </w:rPr>
                    <w:t xml:space="preserve"> invested in a globally diversified strategy spanning equity, debt, property and infrastructure in both public</w:t>
                  </w:r>
                  <w:r w:rsidR="006018C2">
                    <w:rPr>
                      <w:color w:val="17365D" w:themeColor="text2" w:themeShade="BF"/>
                    </w:rPr>
                    <w:t xml:space="preserve"> </w:t>
                  </w:r>
                  <w:r w:rsidRPr="004E4C4C">
                    <w:rPr>
                      <w:color w:val="17365D" w:themeColor="text2" w:themeShade="BF"/>
                    </w:rPr>
                    <w:t>and private markets.</w:t>
                  </w:r>
                </w:p>
                <w:p w14:paraId="66736425" w14:textId="77777777" w:rsidR="00F900A9" w:rsidRPr="004E4C4C" w:rsidRDefault="00F900A9" w:rsidP="00AB321D">
                  <w:pPr>
                    <w:rPr>
                      <w:rFonts w:cs="Arial"/>
                      <w:color w:val="17365D" w:themeColor="text2" w:themeShade="BF"/>
                      <w:sz w:val="24"/>
                      <w:szCs w:val="24"/>
                      <w:lang w:val="en-US"/>
                    </w:rPr>
                  </w:pPr>
                  <w:r w:rsidRPr="004E4C4C">
                    <w:rPr>
                      <w:color w:val="17365D" w:themeColor="text2" w:themeShade="BF"/>
                    </w:rPr>
                    <w:t xml:space="preserve">This includes a </w:t>
                  </w:r>
                  <w:r w:rsidRPr="004E4C4C">
                    <w:rPr>
                      <w:b/>
                      <w:color w:val="17365D" w:themeColor="text2" w:themeShade="BF"/>
                    </w:rPr>
                    <w:t>£1 billion</w:t>
                  </w:r>
                  <w:r w:rsidRPr="004E4C4C">
                    <w:rPr>
                      <w:color w:val="17365D" w:themeColor="text2" w:themeShade="BF"/>
                    </w:rPr>
                    <w:t xml:space="preserve"> Direct Investment Portfolio </w:t>
                  </w:r>
                  <w:r w:rsidR="00AB321D" w:rsidRPr="004E4C4C">
                    <w:rPr>
                      <w:color w:val="17365D" w:themeColor="text2" w:themeShade="BF"/>
                    </w:rPr>
                    <w:t xml:space="preserve">which targets investments with </w:t>
                  </w:r>
                  <w:r w:rsidR="00AB321D" w:rsidRPr="004E4C4C">
                    <w:rPr>
                      <w:rFonts w:cs="Arial"/>
                      <w:color w:val="17365D" w:themeColor="text2" w:themeShade="BF"/>
                      <w:sz w:val="24"/>
                      <w:szCs w:val="24"/>
                      <w:lang w:val="en-US"/>
                    </w:rPr>
                    <w:t>some added value through local, economic or ESG (Environmental, Social, Governance) impact.</w:t>
                  </w:r>
                </w:p>
                <w:p w14:paraId="7C25F8FE" w14:textId="6C1D2F33" w:rsidR="00AB321D" w:rsidRPr="004E4C4C" w:rsidRDefault="00AB321D" w:rsidP="00AB321D">
                  <w:pPr>
                    <w:rPr>
                      <w:color w:val="17365D" w:themeColor="text2" w:themeShade="BF"/>
                    </w:rPr>
                  </w:pPr>
                  <w:r w:rsidRPr="004E4C4C">
                    <w:rPr>
                      <w:rFonts w:cs="Arial"/>
                      <w:color w:val="17365D" w:themeColor="text2" w:themeShade="BF"/>
                      <w:sz w:val="24"/>
                      <w:szCs w:val="24"/>
                      <w:lang w:val="en-US"/>
                    </w:rPr>
                    <w:t xml:space="preserve">SPF is a signatory to the UN Principles for Responsible Investment. </w:t>
                  </w:r>
                </w:p>
              </w:tc>
            </w:tr>
            <w:tr w:rsidR="00710F96" w14:paraId="34FCDB89" w14:textId="77777777" w:rsidTr="00AB321D">
              <w:tc>
                <w:tcPr>
                  <w:tcW w:w="2014" w:type="dxa"/>
                </w:tcPr>
                <w:p w14:paraId="3B4958C9" w14:textId="12A12E1B" w:rsidR="00710F96" w:rsidRPr="004E4C4C" w:rsidRDefault="00710F96" w:rsidP="00866DCD">
                  <w:pPr>
                    <w:rPr>
                      <w:b/>
                      <w:color w:val="17365D" w:themeColor="text2" w:themeShade="BF"/>
                    </w:rPr>
                  </w:pPr>
                  <w:r w:rsidRPr="004E4C4C">
                    <w:rPr>
                      <w:b/>
                      <w:color w:val="17365D" w:themeColor="text2" w:themeShade="BF"/>
                    </w:rPr>
                    <w:t>Investment Performance</w:t>
                  </w:r>
                </w:p>
              </w:tc>
              <w:tc>
                <w:tcPr>
                  <w:tcW w:w="6662" w:type="dxa"/>
                </w:tcPr>
                <w:p w14:paraId="5F82D240" w14:textId="63BB566C" w:rsidR="00710F96" w:rsidRPr="004E4C4C" w:rsidRDefault="00710F96" w:rsidP="00710F96">
                  <w:pPr>
                    <w:rPr>
                      <w:color w:val="17365D" w:themeColor="text2" w:themeShade="BF"/>
                    </w:rPr>
                  </w:pPr>
                  <w:r w:rsidRPr="004E4C4C">
                    <w:rPr>
                      <w:color w:val="17365D" w:themeColor="text2" w:themeShade="BF"/>
                    </w:rPr>
                    <w:t>3-year</w:t>
                  </w:r>
                  <w:r w:rsidR="0079185B">
                    <w:rPr>
                      <w:color w:val="17365D" w:themeColor="text2" w:themeShade="BF"/>
                    </w:rPr>
                    <w:t>s</w:t>
                  </w:r>
                  <w:r w:rsidRPr="004E4C4C">
                    <w:rPr>
                      <w:color w:val="17365D" w:themeColor="text2" w:themeShade="BF"/>
                    </w:rPr>
                    <w:t xml:space="preserve">: </w:t>
                  </w:r>
                  <w:r w:rsidRPr="004E4C4C">
                    <w:rPr>
                      <w:b/>
                      <w:color w:val="17365D" w:themeColor="text2" w:themeShade="BF"/>
                    </w:rPr>
                    <w:t>1</w:t>
                  </w:r>
                  <w:r w:rsidR="00DF59AA">
                    <w:rPr>
                      <w:b/>
                      <w:color w:val="17365D" w:themeColor="text2" w:themeShade="BF"/>
                    </w:rPr>
                    <w:t>4</w:t>
                  </w:r>
                  <w:r w:rsidRPr="004E4C4C">
                    <w:rPr>
                      <w:b/>
                      <w:color w:val="17365D" w:themeColor="text2" w:themeShade="BF"/>
                    </w:rPr>
                    <w:t>.</w:t>
                  </w:r>
                  <w:r w:rsidR="00DF59AA">
                    <w:rPr>
                      <w:b/>
                      <w:color w:val="17365D" w:themeColor="text2" w:themeShade="BF"/>
                    </w:rPr>
                    <w:t>2</w:t>
                  </w:r>
                  <w:r w:rsidRPr="004E4C4C">
                    <w:rPr>
                      <w:b/>
                      <w:color w:val="17365D" w:themeColor="text2" w:themeShade="BF"/>
                    </w:rPr>
                    <w:t>% p.a.</w:t>
                  </w:r>
                </w:p>
                <w:p w14:paraId="07429898" w14:textId="0CB44CA9" w:rsidR="00710F96" w:rsidRPr="004E4C4C" w:rsidRDefault="00710F96" w:rsidP="00710F96">
                  <w:pPr>
                    <w:rPr>
                      <w:color w:val="17365D" w:themeColor="text2" w:themeShade="BF"/>
                    </w:rPr>
                  </w:pPr>
                  <w:r w:rsidRPr="004E4C4C">
                    <w:rPr>
                      <w:color w:val="17365D" w:themeColor="text2" w:themeShade="BF"/>
                    </w:rPr>
                    <w:t>5-year</w:t>
                  </w:r>
                  <w:r w:rsidR="0079185B">
                    <w:rPr>
                      <w:color w:val="17365D" w:themeColor="text2" w:themeShade="BF"/>
                    </w:rPr>
                    <w:t>s</w:t>
                  </w:r>
                  <w:r w:rsidRPr="004E4C4C">
                    <w:rPr>
                      <w:color w:val="17365D" w:themeColor="text2" w:themeShade="BF"/>
                    </w:rPr>
                    <w:t xml:space="preserve">: </w:t>
                  </w:r>
                  <w:r w:rsidRPr="004E4C4C">
                    <w:rPr>
                      <w:b/>
                      <w:color w:val="17365D" w:themeColor="text2" w:themeShade="BF"/>
                    </w:rPr>
                    <w:t>10.9%</w:t>
                  </w:r>
                  <w:r w:rsidR="006018C2">
                    <w:rPr>
                      <w:b/>
                      <w:color w:val="17365D" w:themeColor="text2" w:themeShade="BF"/>
                    </w:rPr>
                    <w:t xml:space="preserve"> </w:t>
                  </w:r>
                  <w:r w:rsidRPr="004E4C4C">
                    <w:rPr>
                      <w:b/>
                      <w:color w:val="17365D" w:themeColor="text2" w:themeShade="BF"/>
                    </w:rPr>
                    <w:t>p.a.</w:t>
                  </w:r>
                </w:p>
                <w:p w14:paraId="07DFEFBD" w14:textId="6956F69C" w:rsidR="00710F96" w:rsidRPr="004E4C4C" w:rsidRDefault="00710F96" w:rsidP="00710F96">
                  <w:pPr>
                    <w:rPr>
                      <w:color w:val="17365D" w:themeColor="text2" w:themeShade="BF"/>
                    </w:rPr>
                  </w:pPr>
                  <w:r w:rsidRPr="004E4C4C">
                    <w:rPr>
                      <w:color w:val="17365D" w:themeColor="text2" w:themeShade="BF"/>
                    </w:rPr>
                    <w:t>Since inception</w:t>
                  </w:r>
                  <w:r w:rsidR="0079185B">
                    <w:rPr>
                      <w:color w:val="17365D" w:themeColor="text2" w:themeShade="BF"/>
                    </w:rPr>
                    <w:t xml:space="preserve"> (1975)</w:t>
                  </w:r>
                  <w:r w:rsidRPr="004E4C4C">
                    <w:rPr>
                      <w:color w:val="17365D" w:themeColor="text2" w:themeShade="BF"/>
                    </w:rPr>
                    <w:t xml:space="preserve">: </w:t>
                  </w:r>
                  <w:r w:rsidRPr="004E4C4C">
                    <w:rPr>
                      <w:b/>
                      <w:color w:val="17365D" w:themeColor="text2" w:themeShade="BF"/>
                    </w:rPr>
                    <w:t>11.6% p.a.</w:t>
                  </w:r>
                </w:p>
              </w:tc>
            </w:tr>
            <w:tr w:rsidR="00F900A9" w14:paraId="509F25BF" w14:textId="77777777" w:rsidTr="00AB321D">
              <w:tc>
                <w:tcPr>
                  <w:tcW w:w="2014" w:type="dxa"/>
                </w:tcPr>
                <w:p w14:paraId="2F557599" w14:textId="20E4A3A3" w:rsidR="00F900A9" w:rsidRPr="004E4C4C" w:rsidRDefault="00AB321D" w:rsidP="00866DCD">
                  <w:pPr>
                    <w:rPr>
                      <w:b/>
                      <w:color w:val="17365D" w:themeColor="text2" w:themeShade="BF"/>
                    </w:rPr>
                  </w:pPr>
                  <w:r w:rsidRPr="004E4C4C">
                    <w:rPr>
                      <w:b/>
                      <w:color w:val="17365D" w:themeColor="text2" w:themeShade="BF"/>
                    </w:rPr>
                    <w:t>Funding</w:t>
                  </w:r>
                </w:p>
              </w:tc>
              <w:tc>
                <w:tcPr>
                  <w:tcW w:w="6662" w:type="dxa"/>
                </w:tcPr>
                <w:p w14:paraId="2447F2AD" w14:textId="36286A12" w:rsidR="00F900A9" w:rsidRPr="004E4C4C" w:rsidRDefault="00710F96" w:rsidP="00710F96">
                  <w:pPr>
                    <w:rPr>
                      <w:color w:val="17365D" w:themeColor="text2" w:themeShade="BF"/>
                    </w:rPr>
                  </w:pPr>
                  <w:r w:rsidRPr="004E4C4C">
                    <w:rPr>
                      <w:color w:val="17365D" w:themeColor="text2" w:themeShade="BF"/>
                    </w:rPr>
                    <w:t xml:space="preserve">Estimated funding level (assets/liabilities): </w:t>
                  </w:r>
                  <w:r w:rsidRPr="004E4C4C">
                    <w:rPr>
                      <w:b/>
                      <w:color w:val="17365D" w:themeColor="text2" w:themeShade="BF"/>
                    </w:rPr>
                    <w:t>11</w:t>
                  </w:r>
                  <w:r w:rsidR="00DF59AA">
                    <w:rPr>
                      <w:b/>
                      <w:color w:val="17365D" w:themeColor="text2" w:themeShade="BF"/>
                    </w:rPr>
                    <w:t>4</w:t>
                  </w:r>
                  <w:r w:rsidRPr="004E4C4C">
                    <w:rPr>
                      <w:b/>
                      <w:color w:val="17365D" w:themeColor="text2" w:themeShade="BF"/>
                    </w:rPr>
                    <w:t>.</w:t>
                  </w:r>
                  <w:r w:rsidR="00DF59AA">
                    <w:rPr>
                      <w:b/>
                      <w:color w:val="17365D" w:themeColor="text2" w:themeShade="BF"/>
                    </w:rPr>
                    <w:t>5</w:t>
                  </w:r>
                  <w:r w:rsidRPr="004E4C4C">
                    <w:rPr>
                      <w:b/>
                      <w:color w:val="17365D" w:themeColor="text2" w:themeShade="BF"/>
                    </w:rPr>
                    <w:t>%</w:t>
                  </w:r>
                  <w:r w:rsidRPr="004E4C4C">
                    <w:rPr>
                      <w:color w:val="17365D" w:themeColor="text2" w:themeShade="BF"/>
                    </w:rPr>
                    <w:t>.</w:t>
                  </w:r>
                </w:p>
                <w:p w14:paraId="7C8D37B5" w14:textId="6899C725" w:rsidR="00710F96" w:rsidRPr="004E4C4C" w:rsidRDefault="00710F96" w:rsidP="00710F96">
                  <w:pPr>
                    <w:rPr>
                      <w:color w:val="17365D" w:themeColor="text2" w:themeShade="BF"/>
                    </w:rPr>
                  </w:pPr>
                  <w:r w:rsidRPr="004E4C4C">
                    <w:rPr>
                      <w:color w:val="17365D" w:themeColor="text2" w:themeShade="BF"/>
                    </w:rPr>
                    <w:t xml:space="preserve">The Main Employer Group pays a contribution rate of </w:t>
                  </w:r>
                  <w:r w:rsidRPr="004E4C4C">
                    <w:rPr>
                      <w:b/>
                      <w:color w:val="17365D" w:themeColor="text2" w:themeShade="BF"/>
                    </w:rPr>
                    <w:t>19.3%</w:t>
                  </w:r>
                  <w:r w:rsidRPr="004E4C4C">
                    <w:rPr>
                      <w:color w:val="17365D" w:themeColor="text2" w:themeShade="BF"/>
                    </w:rPr>
                    <w:t xml:space="preserve"> (of pensionable payroll). This rate has been stable since </w:t>
                  </w:r>
                  <w:r w:rsidRPr="004E4C4C">
                    <w:rPr>
                      <w:b/>
                      <w:color w:val="17365D" w:themeColor="text2" w:themeShade="BF"/>
                    </w:rPr>
                    <w:t>2010</w:t>
                  </w:r>
                  <w:r w:rsidRPr="004E4C4C">
                    <w:rPr>
                      <w:color w:val="17365D" w:themeColor="text2" w:themeShade="BF"/>
                    </w:rPr>
                    <w:t xml:space="preserve"> and will continue until at least </w:t>
                  </w:r>
                  <w:r w:rsidRPr="004E4C4C">
                    <w:rPr>
                      <w:b/>
                      <w:color w:val="17365D" w:themeColor="text2" w:themeShade="BF"/>
                    </w:rPr>
                    <w:t>2021</w:t>
                  </w:r>
                  <w:r w:rsidRPr="004E4C4C">
                    <w:rPr>
                      <w:color w:val="17365D" w:themeColor="text2" w:themeShade="BF"/>
                    </w:rPr>
                    <w:t xml:space="preserve">. </w:t>
                  </w:r>
                </w:p>
              </w:tc>
            </w:tr>
          </w:tbl>
          <w:p w14:paraId="2C979123" w14:textId="77777777" w:rsidR="009A675B" w:rsidRDefault="009A675B" w:rsidP="00F900A9"/>
        </w:tc>
      </w:tr>
    </w:tbl>
    <w:p w14:paraId="2C97912E" w14:textId="77777777" w:rsidR="00513272" w:rsidRDefault="00513272">
      <w:pPr>
        <w:spacing w:after="200" w:line="276" w:lineRule="auto"/>
      </w:pPr>
      <w:r>
        <w:br w:type="page"/>
      </w:r>
    </w:p>
    <w:tbl>
      <w:tblPr>
        <w:tblStyle w:val="TableGrid"/>
        <w:tblW w:w="0" w:type="auto"/>
        <w:tblLook w:val="04A0" w:firstRow="1" w:lastRow="0" w:firstColumn="1" w:lastColumn="0" w:noHBand="0" w:noVBand="1"/>
      </w:tblPr>
      <w:tblGrid>
        <w:gridCol w:w="9026"/>
      </w:tblGrid>
      <w:tr w:rsidR="00513272" w14:paraId="2C979132" w14:textId="77777777" w:rsidTr="00F3009F">
        <w:tc>
          <w:tcPr>
            <w:tcW w:w="9180" w:type="dxa"/>
            <w:tcBorders>
              <w:top w:val="nil"/>
              <w:left w:val="nil"/>
              <w:right w:val="nil"/>
            </w:tcBorders>
          </w:tcPr>
          <w:p w14:paraId="2C97912F" w14:textId="77777777" w:rsidR="002E3B85" w:rsidRPr="00095FE2" w:rsidRDefault="002E3B85" w:rsidP="002E3B85">
            <w:pPr>
              <w:rPr>
                <w:b/>
                <w:sz w:val="24"/>
              </w:rPr>
            </w:pPr>
            <w:r w:rsidRPr="00095FE2">
              <w:rPr>
                <w:b/>
                <w:sz w:val="24"/>
              </w:rPr>
              <w:lastRenderedPageBreak/>
              <w:t>CONSULTATION QUESTIONS</w:t>
            </w:r>
          </w:p>
          <w:p w14:paraId="2C979130" w14:textId="77777777" w:rsidR="000C4E12" w:rsidRDefault="00513272" w:rsidP="000C4E12">
            <w:pPr>
              <w:pStyle w:val="Heading2"/>
              <w:outlineLvl w:val="1"/>
            </w:pPr>
            <w:r>
              <w:t>Question 1:</w:t>
            </w:r>
            <w:r w:rsidR="004B2A40">
              <w:t xml:space="preserve"> </w:t>
            </w:r>
            <w:r w:rsidR="004B2A40" w:rsidRPr="004B2A40">
              <w:t>Retain the current structure with 11 funds</w:t>
            </w:r>
          </w:p>
          <w:p w14:paraId="2C979131" w14:textId="77777777"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14:paraId="2C97916C" w14:textId="77777777" w:rsidTr="00F3009F">
        <w:tc>
          <w:tcPr>
            <w:tcW w:w="9180" w:type="dxa"/>
          </w:tcPr>
          <w:p w14:paraId="2C979133" w14:textId="77777777" w:rsidR="00CB2A52" w:rsidRPr="004F5BA0" w:rsidRDefault="00CB2A52" w:rsidP="00F15DA6">
            <w:pPr>
              <w:pStyle w:val="ListNumber"/>
            </w:pPr>
            <w:r w:rsidRPr="004F5BA0">
              <w:t xml:space="preserve">Cost of investing: </w:t>
            </w:r>
          </w:p>
          <w:p w14:paraId="2C979134" w14:textId="77777777" w:rsidR="00CB2A52" w:rsidRDefault="00CB2A52" w:rsidP="00C22506">
            <w:pPr>
              <w:pStyle w:val="Question"/>
            </w:pPr>
            <w:r w:rsidRPr="00FF2A96">
              <w:t xml:space="preserve">How </w:t>
            </w:r>
            <w:r>
              <w:t xml:space="preserve">well </w:t>
            </w:r>
            <w:r w:rsidRPr="00FF2A96">
              <w:t xml:space="preserve">informed do you </w:t>
            </w:r>
            <w:r>
              <w:t>feel</w:t>
            </w:r>
            <w:r w:rsidRPr="00FF2A96">
              <w:t xml:space="preserve"> about the investment costs in your fund?</w:t>
            </w:r>
            <w:r>
              <w:t xml:space="preserve"> What information do you rely on to specify and measure these?</w:t>
            </w:r>
          </w:p>
          <w:p w14:paraId="483FA5FF" w14:textId="0BBB6294" w:rsidR="0079185B" w:rsidRPr="00754915" w:rsidRDefault="0079185B" w:rsidP="004D25CB">
            <w:pPr>
              <w:rPr>
                <w:color w:val="17365D" w:themeColor="text2" w:themeShade="BF"/>
                <w:lang w:val="en-US"/>
              </w:rPr>
            </w:pPr>
            <w:r>
              <w:rPr>
                <w:color w:val="17365D" w:themeColor="text2" w:themeShade="BF"/>
                <w:lang w:val="en-US"/>
              </w:rPr>
              <w:t>The investment industry has not been entirely transparent in respect of costs</w:t>
            </w:r>
            <w:r w:rsidR="00754915">
              <w:rPr>
                <w:color w:val="17365D" w:themeColor="text2" w:themeShade="BF"/>
                <w:lang w:val="en-US"/>
              </w:rPr>
              <w:t>, though there has been some improvement in recent years</w:t>
            </w:r>
            <w:r>
              <w:rPr>
                <w:color w:val="17365D" w:themeColor="text2" w:themeShade="BF"/>
                <w:lang w:val="en-US"/>
              </w:rPr>
              <w:t xml:space="preserve">. </w:t>
            </w:r>
            <w:r w:rsidR="00754915">
              <w:rPr>
                <w:color w:val="17365D" w:themeColor="text2" w:themeShade="BF"/>
                <w:lang w:val="en-US"/>
              </w:rPr>
              <w:t xml:space="preserve">In 2014, CIPFA published guidance on </w:t>
            </w:r>
            <w:r w:rsidR="00754915" w:rsidRPr="004D25CB">
              <w:rPr>
                <w:i/>
                <w:color w:val="17365D" w:themeColor="text2" w:themeShade="BF"/>
                <w:lang w:val="en-US"/>
              </w:rPr>
              <w:t>Accounting for Local Government Pension Scheme Management Expenses</w:t>
            </w:r>
            <w:r w:rsidR="00754915">
              <w:rPr>
                <w:i/>
                <w:color w:val="17365D" w:themeColor="text2" w:themeShade="BF"/>
                <w:lang w:val="en-US"/>
              </w:rPr>
              <w:t xml:space="preserve"> </w:t>
            </w:r>
            <w:r w:rsidR="00754915">
              <w:rPr>
                <w:color w:val="17365D" w:themeColor="text2" w:themeShade="BF"/>
                <w:lang w:val="en-US"/>
              </w:rPr>
              <w:t>in an effort to achieve full disclosure of costs on a comparable basis between pension funds. The guidance was revised and re-issued in 2016.</w:t>
            </w:r>
          </w:p>
          <w:p w14:paraId="2C979135" w14:textId="24A540AC" w:rsidR="00AC4147" w:rsidRDefault="004D25CB" w:rsidP="004D25CB">
            <w:pPr>
              <w:rPr>
                <w:color w:val="17365D" w:themeColor="text2" w:themeShade="BF"/>
                <w:lang w:val="en-US"/>
              </w:rPr>
            </w:pPr>
            <w:r>
              <w:rPr>
                <w:color w:val="17365D" w:themeColor="text2" w:themeShade="BF"/>
                <w:lang w:val="en-US"/>
              </w:rPr>
              <w:t xml:space="preserve">Strathclyde Pension Fund (SPF) </w:t>
            </w:r>
            <w:r w:rsidR="00754915">
              <w:rPr>
                <w:color w:val="17365D" w:themeColor="text2" w:themeShade="BF"/>
                <w:lang w:val="en-US"/>
              </w:rPr>
              <w:t xml:space="preserve">has </w:t>
            </w:r>
            <w:r>
              <w:rPr>
                <w:color w:val="17365D" w:themeColor="text2" w:themeShade="BF"/>
                <w:lang w:val="en-US"/>
              </w:rPr>
              <w:t>complie</w:t>
            </w:r>
            <w:r w:rsidR="00754915">
              <w:rPr>
                <w:color w:val="17365D" w:themeColor="text2" w:themeShade="BF"/>
                <w:lang w:val="en-US"/>
              </w:rPr>
              <w:t>d</w:t>
            </w:r>
            <w:r>
              <w:rPr>
                <w:color w:val="17365D" w:themeColor="text2" w:themeShade="BF"/>
                <w:lang w:val="en-US"/>
              </w:rPr>
              <w:t xml:space="preserve"> fully with </w:t>
            </w:r>
            <w:r w:rsidR="00754915">
              <w:rPr>
                <w:color w:val="17365D" w:themeColor="text2" w:themeShade="BF"/>
                <w:lang w:val="en-US"/>
              </w:rPr>
              <w:t xml:space="preserve">the </w:t>
            </w:r>
            <w:r>
              <w:rPr>
                <w:color w:val="17365D" w:themeColor="text2" w:themeShade="BF"/>
                <w:lang w:val="en-US"/>
              </w:rPr>
              <w:t>CIPFA guidance</w:t>
            </w:r>
            <w:r w:rsidR="00754915">
              <w:rPr>
                <w:color w:val="17365D" w:themeColor="text2" w:themeShade="BF"/>
                <w:lang w:val="en-US"/>
              </w:rPr>
              <w:t xml:space="preserve"> since initial publication</w:t>
            </w:r>
            <w:r>
              <w:rPr>
                <w:i/>
                <w:color w:val="17365D" w:themeColor="text2" w:themeShade="BF"/>
                <w:lang w:val="en-US"/>
              </w:rPr>
              <w:t>.</w:t>
            </w:r>
            <w:r>
              <w:rPr>
                <w:color w:val="17365D" w:themeColor="text2" w:themeShade="BF"/>
                <w:lang w:val="en-US"/>
              </w:rPr>
              <w:t xml:space="preserve"> </w:t>
            </w:r>
            <w:r w:rsidR="00AC4147">
              <w:rPr>
                <w:color w:val="17365D" w:themeColor="text2" w:themeShade="BF"/>
                <w:lang w:val="en-US"/>
              </w:rPr>
              <w:t>A</w:t>
            </w:r>
            <w:r>
              <w:rPr>
                <w:color w:val="17365D" w:themeColor="text2" w:themeShade="BF"/>
                <w:lang w:val="en-US"/>
              </w:rPr>
              <w:t>ll investment management costs</w:t>
            </w:r>
            <w:r w:rsidR="00AC4147">
              <w:rPr>
                <w:color w:val="17365D" w:themeColor="text2" w:themeShade="BF"/>
                <w:lang w:val="en-US"/>
              </w:rPr>
              <w:t xml:space="preserve"> are recogni</w:t>
            </w:r>
            <w:r w:rsidR="00733DA3">
              <w:rPr>
                <w:color w:val="17365D" w:themeColor="text2" w:themeShade="BF"/>
                <w:lang w:val="en-US"/>
              </w:rPr>
              <w:t>s</w:t>
            </w:r>
            <w:r w:rsidR="00AC4147">
              <w:rPr>
                <w:color w:val="17365D" w:themeColor="text2" w:themeShade="BF"/>
                <w:lang w:val="en-US"/>
              </w:rPr>
              <w:t>ed, measured and disclosed in the Fund Account in line with th</w:t>
            </w:r>
            <w:r w:rsidR="00754915">
              <w:rPr>
                <w:color w:val="17365D" w:themeColor="text2" w:themeShade="BF"/>
                <w:lang w:val="en-US"/>
              </w:rPr>
              <w:t>e</w:t>
            </w:r>
            <w:r w:rsidR="00AC4147">
              <w:rPr>
                <w:color w:val="17365D" w:themeColor="text2" w:themeShade="BF"/>
                <w:lang w:val="en-US"/>
              </w:rPr>
              <w:t xml:space="preserve"> guidance</w:t>
            </w:r>
            <w:r w:rsidR="00754915">
              <w:rPr>
                <w:color w:val="17365D" w:themeColor="text2" w:themeShade="BF"/>
                <w:lang w:val="en-US"/>
              </w:rPr>
              <w:t>. This includes costs</w:t>
            </w:r>
            <w:r w:rsidR="00F94895">
              <w:rPr>
                <w:color w:val="17365D" w:themeColor="text2" w:themeShade="BF"/>
                <w:lang w:val="en-US"/>
              </w:rPr>
              <w:t xml:space="preserve"> which are sometimes described as “hidden”</w:t>
            </w:r>
            <w:r w:rsidR="00754915">
              <w:rPr>
                <w:color w:val="17365D" w:themeColor="text2" w:themeShade="BF"/>
                <w:lang w:val="en-US"/>
              </w:rPr>
              <w:t xml:space="preserve"> and are </w:t>
            </w:r>
            <w:r w:rsidR="00E226BF">
              <w:rPr>
                <w:color w:val="17365D" w:themeColor="text2" w:themeShade="BF"/>
                <w:lang w:val="en-US"/>
              </w:rPr>
              <w:t xml:space="preserve">not </w:t>
            </w:r>
            <w:r w:rsidR="00754915">
              <w:rPr>
                <w:color w:val="17365D" w:themeColor="text2" w:themeShade="BF"/>
                <w:lang w:val="en-US"/>
              </w:rPr>
              <w:t xml:space="preserve">currently provided </w:t>
            </w:r>
            <w:r w:rsidR="00E226BF">
              <w:rPr>
                <w:color w:val="17365D" w:themeColor="text2" w:themeShade="BF"/>
                <w:lang w:val="en-US"/>
              </w:rPr>
              <w:t xml:space="preserve">as standard </w:t>
            </w:r>
            <w:r w:rsidR="00754915">
              <w:rPr>
                <w:color w:val="17365D" w:themeColor="text2" w:themeShade="BF"/>
                <w:lang w:val="en-US"/>
              </w:rPr>
              <w:t>by investment managers</w:t>
            </w:r>
            <w:r w:rsidR="00AC4147">
              <w:rPr>
                <w:color w:val="17365D" w:themeColor="text2" w:themeShade="BF"/>
                <w:lang w:val="en-US"/>
              </w:rPr>
              <w:t>. T</w:t>
            </w:r>
            <w:r w:rsidR="00733DA3">
              <w:rPr>
                <w:color w:val="17365D" w:themeColor="text2" w:themeShade="BF"/>
                <w:lang w:val="en-US"/>
              </w:rPr>
              <w:t xml:space="preserve">otal disclosed expenses </w:t>
            </w:r>
            <w:r w:rsidR="00E226BF">
              <w:rPr>
                <w:color w:val="17365D" w:themeColor="text2" w:themeShade="BF"/>
                <w:lang w:val="en-US"/>
              </w:rPr>
              <w:t xml:space="preserve">for SPF </w:t>
            </w:r>
            <w:r w:rsidR="00AC4147">
              <w:rPr>
                <w:color w:val="17365D" w:themeColor="text2" w:themeShade="BF"/>
                <w:lang w:val="en-US"/>
              </w:rPr>
              <w:t>include management fees, management fees in pooled funds, performance fees, and transaction costs.</w:t>
            </w:r>
          </w:p>
          <w:p w14:paraId="2C979136" w14:textId="77777777" w:rsidR="00AC4147" w:rsidRDefault="00AC4147" w:rsidP="004D25CB">
            <w:pPr>
              <w:rPr>
                <w:color w:val="17365D" w:themeColor="text2" w:themeShade="BF"/>
                <w:lang w:val="en-US"/>
              </w:rPr>
            </w:pPr>
            <w:r>
              <w:rPr>
                <w:color w:val="17365D" w:themeColor="text2" w:themeShade="BF"/>
                <w:lang w:val="en-US"/>
              </w:rPr>
              <w:t>SPF also participates in a number of cost and performance benchmarking exercises. The results are generally not published, but SPF would have no objection to publication.</w:t>
            </w:r>
          </w:p>
          <w:p w14:paraId="2C979137" w14:textId="77777777"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14:paraId="2C979138" w14:textId="128F8FC0" w:rsidR="006C2D94" w:rsidRDefault="006C2D94" w:rsidP="00AC4147">
            <w:pPr>
              <w:rPr>
                <w:color w:val="17365D" w:themeColor="text2" w:themeShade="BF"/>
                <w:lang w:val="en-US"/>
              </w:rPr>
            </w:pPr>
            <w:r w:rsidRPr="006C2D94">
              <w:rPr>
                <w:color w:val="17365D" w:themeColor="text2" w:themeShade="BF"/>
                <w:lang w:val="en-US"/>
              </w:rPr>
              <w:t>T</w:t>
            </w:r>
            <w:r>
              <w:rPr>
                <w:color w:val="17365D" w:themeColor="text2" w:themeShade="BF"/>
                <w:lang w:val="en-US"/>
              </w:rPr>
              <w:t xml:space="preserve">he Financial Conduct Authority’s </w:t>
            </w:r>
            <w:r w:rsidR="00612995">
              <w:rPr>
                <w:color w:val="17365D" w:themeColor="text2" w:themeShade="BF"/>
                <w:lang w:val="en-US"/>
              </w:rPr>
              <w:t xml:space="preserve">(FCA) </w:t>
            </w:r>
            <w:r>
              <w:rPr>
                <w:color w:val="17365D" w:themeColor="text2" w:themeShade="BF"/>
                <w:lang w:val="en-US"/>
              </w:rPr>
              <w:t xml:space="preserve">recent final report on </w:t>
            </w:r>
            <w:r w:rsidR="00754915">
              <w:rPr>
                <w:color w:val="17365D" w:themeColor="text2" w:themeShade="BF"/>
                <w:lang w:val="en-US"/>
              </w:rPr>
              <w:t>its</w:t>
            </w:r>
            <w:r>
              <w:rPr>
                <w:color w:val="17365D" w:themeColor="text2" w:themeShade="BF"/>
                <w:lang w:val="en-US"/>
              </w:rPr>
              <w:t xml:space="preserve"> </w:t>
            </w:r>
            <w:r w:rsidRPr="00612995">
              <w:rPr>
                <w:i/>
                <w:color w:val="17365D" w:themeColor="text2" w:themeShade="BF"/>
                <w:lang w:val="en-US"/>
              </w:rPr>
              <w:t>Asset Management Market Study</w:t>
            </w:r>
            <w:r w:rsidR="00F94895">
              <w:rPr>
                <w:color w:val="17365D" w:themeColor="text2" w:themeShade="BF"/>
                <w:lang w:val="en-US"/>
              </w:rPr>
              <w:t xml:space="preserve">, which is referred to in the Scheme Advisory Board </w:t>
            </w:r>
            <w:r w:rsidR="00815A78">
              <w:rPr>
                <w:color w:val="17365D" w:themeColor="text2" w:themeShade="BF"/>
                <w:lang w:val="en-US"/>
              </w:rPr>
              <w:t xml:space="preserve">(SAB) </w:t>
            </w:r>
            <w:r w:rsidR="00F94895">
              <w:rPr>
                <w:color w:val="17365D" w:themeColor="text2" w:themeShade="BF"/>
                <w:lang w:val="en-US"/>
              </w:rPr>
              <w:t xml:space="preserve">structural review report, </w:t>
            </w:r>
            <w:r>
              <w:rPr>
                <w:color w:val="17365D" w:themeColor="text2" w:themeShade="BF"/>
                <w:lang w:val="en-US"/>
              </w:rPr>
              <w:t xml:space="preserve">highlights a number of weaknesses in the current </w:t>
            </w:r>
            <w:r w:rsidR="00F94895">
              <w:rPr>
                <w:color w:val="17365D" w:themeColor="text2" w:themeShade="BF"/>
                <w:lang w:val="en-US"/>
              </w:rPr>
              <w:t xml:space="preserve">asset management </w:t>
            </w:r>
            <w:r>
              <w:rPr>
                <w:color w:val="17365D" w:themeColor="text2" w:themeShade="BF"/>
                <w:lang w:val="en-US"/>
              </w:rPr>
              <w:t>system</w:t>
            </w:r>
            <w:r w:rsidR="00F94895">
              <w:rPr>
                <w:color w:val="17365D" w:themeColor="text2" w:themeShade="BF"/>
                <w:lang w:val="en-US"/>
              </w:rPr>
              <w:t xml:space="preserve"> in the UK</w:t>
            </w:r>
            <w:r>
              <w:rPr>
                <w:color w:val="17365D" w:themeColor="text2" w:themeShade="BF"/>
                <w:lang w:val="en-US"/>
              </w:rPr>
              <w:t>. These include weak price competition, a lack of transparency, and a lack of alignment of fees and performance. These issues apply particularly to small, retail investors.</w:t>
            </w:r>
            <w:r w:rsidR="0014429F">
              <w:rPr>
                <w:color w:val="17365D" w:themeColor="text2" w:themeShade="BF"/>
                <w:lang w:val="en-US"/>
              </w:rPr>
              <w:t xml:space="preserve"> (There are 33,000 DC pension schemes in the UK with less than 11 members.) </w:t>
            </w:r>
            <w:r>
              <w:rPr>
                <w:color w:val="17365D" w:themeColor="text2" w:themeShade="BF"/>
                <w:lang w:val="en-US"/>
              </w:rPr>
              <w:t xml:space="preserve"> The report confirmed that large institutional investors </w:t>
            </w:r>
            <w:r w:rsidRPr="00F94895">
              <w:rPr>
                <w:color w:val="17365D" w:themeColor="text2" w:themeShade="BF"/>
                <w:u w:val="single"/>
                <w:lang w:val="en-US"/>
              </w:rPr>
              <w:t>are</w:t>
            </w:r>
            <w:r>
              <w:rPr>
                <w:color w:val="17365D" w:themeColor="text2" w:themeShade="BF"/>
                <w:lang w:val="en-US"/>
              </w:rPr>
              <w:t xml:space="preserve"> able to negotiate very effectively and get good value for money.</w:t>
            </w:r>
            <w:r w:rsidR="0014429F">
              <w:rPr>
                <w:color w:val="17365D" w:themeColor="text2" w:themeShade="BF"/>
                <w:lang w:val="en-US"/>
              </w:rPr>
              <w:t xml:space="preserve"> In this context, Local Government Pension Scheme (LGPS) funds are all large investors.</w:t>
            </w:r>
          </w:p>
          <w:p w14:paraId="2C979139" w14:textId="77777777" w:rsidR="00421F9A" w:rsidRDefault="0014429F" w:rsidP="00AC4147">
            <w:pPr>
              <w:rPr>
                <w:color w:val="17365D" w:themeColor="text2" w:themeShade="BF"/>
                <w:lang w:val="en-US"/>
              </w:rPr>
            </w:pPr>
            <w:r>
              <w:rPr>
                <w:color w:val="17365D" w:themeColor="text2" w:themeShade="BF"/>
                <w:lang w:val="en-US"/>
              </w:rPr>
              <w:t>LGPS funds also benefit from other public sector disciplines including open competitive tendering</w:t>
            </w:r>
            <w:r w:rsidR="00421F9A">
              <w:rPr>
                <w:color w:val="17365D" w:themeColor="text2" w:themeShade="BF"/>
                <w:lang w:val="en-US"/>
              </w:rPr>
              <w:t xml:space="preserve">, a value for money ethos, </w:t>
            </w:r>
            <w:r>
              <w:rPr>
                <w:color w:val="17365D" w:themeColor="text2" w:themeShade="BF"/>
                <w:lang w:val="en-US"/>
              </w:rPr>
              <w:t xml:space="preserve">and high levels of scrutiny and transparency in comparison to corporate funds. </w:t>
            </w:r>
          </w:p>
          <w:p w14:paraId="2C97913A" w14:textId="1590AB45" w:rsidR="0014429F" w:rsidRDefault="00421F9A" w:rsidP="00AC4147">
            <w:pPr>
              <w:rPr>
                <w:color w:val="17365D" w:themeColor="text2" w:themeShade="BF"/>
                <w:lang w:val="en-US"/>
              </w:rPr>
            </w:pPr>
            <w:r>
              <w:rPr>
                <w:color w:val="17365D" w:themeColor="text2" w:themeShade="BF"/>
                <w:lang w:val="en-US"/>
              </w:rPr>
              <w:t xml:space="preserve">SPF maintains these disciplines, and also benefits from </w:t>
            </w:r>
            <w:r w:rsidR="00733DA3">
              <w:rPr>
                <w:color w:val="17365D" w:themeColor="text2" w:themeShade="BF"/>
                <w:lang w:val="en-US"/>
              </w:rPr>
              <w:t xml:space="preserve">very </w:t>
            </w:r>
            <w:r>
              <w:rPr>
                <w:color w:val="17365D" w:themeColor="text2" w:themeShade="BF"/>
                <w:lang w:val="en-US"/>
              </w:rPr>
              <w:t>significant economies of scale given its size</w:t>
            </w:r>
            <w:r w:rsidR="00F94895">
              <w:rPr>
                <w:color w:val="17365D" w:themeColor="text2" w:themeShade="BF"/>
                <w:lang w:val="en-US"/>
              </w:rPr>
              <w:t xml:space="preserve"> of </w:t>
            </w:r>
            <w:r w:rsidR="00120B36">
              <w:rPr>
                <w:color w:val="17365D" w:themeColor="text2" w:themeShade="BF"/>
                <w:lang w:val="en-US"/>
              </w:rPr>
              <w:t>almost</w:t>
            </w:r>
            <w:r w:rsidR="00F94895">
              <w:rPr>
                <w:color w:val="17365D" w:themeColor="text2" w:themeShade="BF"/>
                <w:lang w:val="en-US"/>
              </w:rPr>
              <w:t xml:space="preserve"> £2</w:t>
            </w:r>
            <w:r w:rsidR="00120B36">
              <w:rPr>
                <w:color w:val="17365D" w:themeColor="text2" w:themeShade="BF"/>
                <w:lang w:val="en-US"/>
              </w:rPr>
              <w:t>2</w:t>
            </w:r>
            <w:r w:rsidR="00F94895">
              <w:rPr>
                <w:color w:val="17365D" w:themeColor="text2" w:themeShade="BF"/>
                <w:lang w:val="en-US"/>
              </w:rPr>
              <w:t xml:space="preserve"> billion</w:t>
            </w:r>
            <w:r>
              <w:rPr>
                <w:color w:val="17365D" w:themeColor="text2" w:themeShade="BF"/>
                <w:lang w:val="en-US"/>
              </w:rPr>
              <w:t>.</w:t>
            </w:r>
            <w:r w:rsidR="0014429F">
              <w:rPr>
                <w:color w:val="17365D" w:themeColor="text2" w:themeShade="BF"/>
                <w:lang w:val="en-US"/>
              </w:rPr>
              <w:t xml:space="preserve"> </w:t>
            </w:r>
          </w:p>
          <w:p w14:paraId="2C97913B" w14:textId="77777777"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14:paraId="2C97913C" w14:textId="77777777" w:rsidR="0014429F" w:rsidRDefault="00612995" w:rsidP="0014429F">
            <w:pPr>
              <w:rPr>
                <w:color w:val="17365D" w:themeColor="text2" w:themeShade="BF"/>
                <w:lang w:val="en-US"/>
              </w:rPr>
            </w:pPr>
            <w:r w:rsidRPr="00612995">
              <w:rPr>
                <w:color w:val="17365D" w:themeColor="text2" w:themeShade="BF"/>
                <w:lang w:val="en-US"/>
              </w:rPr>
              <w:t xml:space="preserve">The FCA report </w:t>
            </w:r>
            <w:r>
              <w:rPr>
                <w:color w:val="17365D" w:themeColor="text2" w:themeShade="BF"/>
                <w:lang w:val="en-US"/>
              </w:rPr>
              <w:t>proposes a package of remedies including strengthening the duty on fund managers to act in the best interests of investors, consistent and standardi</w:t>
            </w:r>
            <w:r w:rsidR="00733DA3">
              <w:rPr>
                <w:color w:val="17365D" w:themeColor="text2" w:themeShade="BF"/>
                <w:lang w:val="en-US"/>
              </w:rPr>
              <w:t>s</w:t>
            </w:r>
            <w:r>
              <w:rPr>
                <w:color w:val="17365D" w:themeColor="text2" w:themeShade="BF"/>
                <w:lang w:val="en-US"/>
              </w:rPr>
              <w:t xml:space="preserve">ed </w:t>
            </w:r>
            <w:r>
              <w:rPr>
                <w:color w:val="17365D" w:themeColor="text2" w:themeShade="BF"/>
                <w:lang w:val="en-US"/>
              </w:rPr>
              <w:lastRenderedPageBreak/>
              <w:t xml:space="preserve">disclosure of costs and charges to institutional investors, and proposals to improve the effectiveness of intermediaries. </w:t>
            </w:r>
          </w:p>
          <w:p w14:paraId="2C97913D" w14:textId="77777777" w:rsidR="00612995" w:rsidRDefault="00612995" w:rsidP="0014429F">
            <w:pPr>
              <w:rPr>
                <w:color w:val="17365D" w:themeColor="text2" w:themeShade="BF"/>
                <w:lang w:val="en-US"/>
              </w:rPr>
            </w:pPr>
            <w:r>
              <w:rPr>
                <w:color w:val="17365D" w:themeColor="text2" w:themeShade="BF"/>
                <w:lang w:val="en-US"/>
              </w:rPr>
              <w:t xml:space="preserve">SPF would support these measures, albeit they are addressed more towards smaller investors. </w:t>
            </w:r>
          </w:p>
          <w:p w14:paraId="2C97913E" w14:textId="59D3789A" w:rsidR="00612995" w:rsidRDefault="00150277" w:rsidP="0014429F">
            <w:pPr>
              <w:rPr>
                <w:color w:val="17365D" w:themeColor="text2" w:themeShade="BF"/>
                <w:lang w:val="en-US"/>
              </w:rPr>
            </w:pPr>
            <w:r>
              <w:rPr>
                <w:color w:val="17365D" w:themeColor="text2" w:themeShade="BF"/>
                <w:lang w:val="en-US"/>
              </w:rPr>
              <w:t xml:space="preserve">Considerable </w:t>
            </w:r>
            <w:r w:rsidR="00612995">
              <w:rPr>
                <w:color w:val="17365D" w:themeColor="text2" w:themeShade="BF"/>
                <w:lang w:val="en-US"/>
              </w:rPr>
              <w:t>progress has already been made with the introduction of the Transparency Code in 2016,</w:t>
            </w:r>
            <w:r w:rsidRPr="00150277">
              <w:rPr>
                <w:color w:val="17365D" w:themeColor="text2" w:themeShade="BF"/>
                <w:lang w:val="en-US"/>
              </w:rPr>
              <w:t xml:space="preserve"> </w:t>
            </w:r>
            <w:r w:rsidR="00612995">
              <w:rPr>
                <w:color w:val="17365D" w:themeColor="text2" w:themeShade="BF"/>
                <w:lang w:val="en-US"/>
              </w:rPr>
              <w:t>MiFID II (the Markets in financial Instruments Directive) in January 2018</w:t>
            </w:r>
            <w:r>
              <w:rPr>
                <w:color w:val="17365D" w:themeColor="text2" w:themeShade="BF"/>
                <w:lang w:val="en-US"/>
              </w:rPr>
              <w:t xml:space="preserve">, a private equity transparency initiative by ILPA (the Institutional Limited Partnership Association), and </w:t>
            </w:r>
            <w:r w:rsidRPr="00150277">
              <w:rPr>
                <w:color w:val="17365D" w:themeColor="text2" w:themeShade="BF"/>
                <w:lang w:val="en-US"/>
              </w:rPr>
              <w:t xml:space="preserve">ongoing work by </w:t>
            </w:r>
            <w:r w:rsidRPr="00150277">
              <w:rPr>
                <w:color w:val="17365D" w:themeColor="text2" w:themeShade="BF"/>
              </w:rPr>
              <w:t>the FCA’s Institutional Disclosure Working Group</w:t>
            </w:r>
            <w:r w:rsidR="00612995">
              <w:rPr>
                <w:color w:val="17365D" w:themeColor="text2" w:themeShade="BF"/>
                <w:lang w:val="en-US"/>
              </w:rPr>
              <w:t>.</w:t>
            </w:r>
          </w:p>
          <w:p w14:paraId="2C97913F" w14:textId="77777777" w:rsidR="00612995" w:rsidRPr="00F94895" w:rsidRDefault="00612995" w:rsidP="0014429F">
            <w:pPr>
              <w:rPr>
                <w:color w:val="17365D" w:themeColor="text2" w:themeShade="BF"/>
                <w:lang w:val="en-US"/>
              </w:rPr>
            </w:pPr>
            <w:r>
              <w:rPr>
                <w:color w:val="17365D" w:themeColor="text2" w:themeShade="BF"/>
                <w:lang w:val="en-US"/>
              </w:rPr>
              <w:t xml:space="preserve">To ensure consistency across LGPS funds, SPF would support mandatory application of the CIPFA guidance on </w:t>
            </w:r>
            <w:r w:rsidRPr="004D25CB">
              <w:rPr>
                <w:i/>
                <w:color w:val="17365D" w:themeColor="text2" w:themeShade="BF"/>
                <w:lang w:val="en-US"/>
              </w:rPr>
              <w:t>Accounting for Local Government Pension Scheme Management Expenses</w:t>
            </w:r>
            <w:r>
              <w:rPr>
                <w:i/>
                <w:color w:val="17365D" w:themeColor="text2" w:themeShade="BF"/>
                <w:lang w:val="en-US"/>
              </w:rPr>
              <w:t>.</w:t>
            </w:r>
            <w:r w:rsidR="00F94895">
              <w:rPr>
                <w:i/>
                <w:color w:val="17365D" w:themeColor="text2" w:themeShade="BF"/>
                <w:lang w:val="en-US"/>
              </w:rPr>
              <w:t xml:space="preserve"> </w:t>
            </w:r>
            <w:r w:rsidR="00F94895">
              <w:rPr>
                <w:color w:val="17365D" w:themeColor="text2" w:themeShade="BF"/>
                <w:lang w:val="en-US"/>
              </w:rPr>
              <w:t xml:space="preserve">SPF </w:t>
            </w:r>
            <w:r w:rsidR="00733DA3">
              <w:rPr>
                <w:color w:val="17365D" w:themeColor="text2" w:themeShade="BF"/>
                <w:lang w:val="en-US"/>
              </w:rPr>
              <w:t>currentl</w:t>
            </w:r>
            <w:r w:rsidR="00F94895">
              <w:rPr>
                <w:color w:val="17365D" w:themeColor="text2" w:themeShade="BF"/>
                <w:lang w:val="en-US"/>
              </w:rPr>
              <w:t>y applies this guidance as a matter of best practice</w:t>
            </w:r>
          </w:p>
          <w:p w14:paraId="2C979140" w14:textId="77777777" w:rsidR="00CB2A52" w:rsidRPr="00D50707" w:rsidRDefault="00CB2A52" w:rsidP="00F15DA6">
            <w:pPr>
              <w:pStyle w:val="ListNumber"/>
            </w:pPr>
            <w:r w:rsidRPr="00D50707">
              <w:t xml:space="preserve">Governance: </w:t>
            </w:r>
          </w:p>
          <w:p w14:paraId="2C979141" w14:textId="77777777" w:rsidR="00CB2A52" w:rsidRDefault="00CB2A52" w:rsidP="00C22506">
            <w:pPr>
              <w:pStyle w:val="Question"/>
            </w:pPr>
            <w:r w:rsidRPr="0027704C">
              <w:t>How</w:t>
            </w:r>
            <w:r>
              <w:t xml:space="preserve"> well</w:t>
            </w:r>
            <w:r w:rsidRPr="0027704C">
              <w:t xml:space="preserve"> informed do you </w:t>
            </w:r>
            <w:r>
              <w:t>feel about the governance of your fund</w:t>
            </w:r>
            <w:r w:rsidRPr="0027704C">
              <w:t>?</w:t>
            </w:r>
            <w:r w:rsidRPr="00F50CBA">
              <w:t xml:space="preserve"> </w:t>
            </w:r>
            <w:r>
              <w:t>What information do you rely on to measure this?</w:t>
            </w:r>
          </w:p>
          <w:p w14:paraId="2C979142" w14:textId="77777777" w:rsidR="0040185F" w:rsidRDefault="0040185F" w:rsidP="0040185F">
            <w:pPr>
              <w:rPr>
                <w:color w:val="17365D" w:themeColor="text2" w:themeShade="BF"/>
                <w:lang w:val="en-US"/>
              </w:rPr>
            </w:pPr>
            <w:r>
              <w:rPr>
                <w:color w:val="17365D" w:themeColor="text2" w:themeShade="BF"/>
                <w:lang w:val="en-US"/>
              </w:rPr>
              <w:t>SPF has a dedicated Governance area on its website, a Governance section in its Annual Report, and Governance is a standing item at the SPF AGM. See:</w:t>
            </w:r>
          </w:p>
          <w:p w14:paraId="2C979143" w14:textId="77777777" w:rsidR="0040185F" w:rsidRDefault="00DD4E14" w:rsidP="0040185F">
            <w:pPr>
              <w:rPr>
                <w:color w:val="17365D" w:themeColor="text2" w:themeShade="BF"/>
                <w:lang w:val="en-US"/>
              </w:rPr>
            </w:pPr>
            <w:hyperlink r:id="rId9" w:history="1">
              <w:r w:rsidR="0040185F" w:rsidRPr="00AE60DF">
                <w:rPr>
                  <w:rStyle w:val="Hyperlink"/>
                  <w:lang w:val="en-US"/>
                  <w14:textFill>
                    <w14:solidFill>
                      <w14:srgbClr w14:val="0563C1">
                        <w14:lumMod w14:val="75000"/>
                      </w14:srgbClr>
                    </w14:solidFill>
                  </w14:textFill>
                </w:rPr>
                <w:t>https://www.spfo.org.uk/index.aspx?articleid=14464</w:t>
              </w:r>
            </w:hyperlink>
          </w:p>
          <w:p w14:paraId="2C979144" w14:textId="77777777" w:rsidR="0040185F" w:rsidRDefault="00DD4E14" w:rsidP="0040185F">
            <w:pPr>
              <w:rPr>
                <w:color w:val="17365D" w:themeColor="text2" w:themeShade="BF"/>
                <w:lang w:val="en-US"/>
              </w:rPr>
            </w:pPr>
            <w:hyperlink r:id="rId10" w:history="1">
              <w:r w:rsidR="0040185F" w:rsidRPr="00AE60DF">
                <w:rPr>
                  <w:rStyle w:val="Hyperlink"/>
                  <w:lang w:val="en-US"/>
                  <w14:textFill>
                    <w14:solidFill>
                      <w14:srgbClr w14:val="0563C1">
                        <w14:lumMod w14:val="75000"/>
                      </w14:srgbClr>
                    </w14:solidFill>
                  </w14:textFill>
                </w:rPr>
                <w:t>https://www.spfo.org.uk/index.aspx?articleid=14493</w:t>
              </w:r>
            </w:hyperlink>
          </w:p>
          <w:p w14:paraId="2C979145" w14:textId="77777777" w:rsidR="0040185F" w:rsidRDefault="00DD4E14" w:rsidP="0040185F">
            <w:pPr>
              <w:rPr>
                <w:color w:val="17365D" w:themeColor="text2" w:themeShade="BF"/>
                <w:lang w:val="en-US"/>
              </w:rPr>
            </w:pPr>
            <w:hyperlink r:id="rId11" w:history="1">
              <w:r w:rsidR="0040185F" w:rsidRPr="00AE60DF">
                <w:rPr>
                  <w:rStyle w:val="Hyperlink"/>
                  <w:lang w:val="en-US"/>
                  <w14:textFill>
                    <w14:solidFill>
                      <w14:srgbClr w14:val="0563C1">
                        <w14:lumMod w14:val="75000"/>
                      </w14:srgbClr>
                    </w14:solidFill>
                  </w14:textFill>
                </w:rPr>
                <w:t>https://www.spfo.org.uk/index.aspx?articleid=22913</w:t>
              </w:r>
            </w:hyperlink>
          </w:p>
          <w:p w14:paraId="2C979146" w14:textId="20B73063" w:rsidR="0040185F" w:rsidRDefault="000C4A7C" w:rsidP="0040185F">
            <w:pPr>
              <w:rPr>
                <w:color w:val="17365D" w:themeColor="text2" w:themeShade="BF"/>
                <w:lang w:val="en-US"/>
              </w:rPr>
            </w:pPr>
            <w:r>
              <w:rPr>
                <w:noProof/>
                <w:lang w:eastAsia="en-GB"/>
              </w:rPr>
              <w:drawing>
                <wp:inline distT="0" distB="0" distL="0" distR="0" wp14:anchorId="2EC80D99" wp14:editId="6FD009F5">
                  <wp:extent cx="4723200" cy="288720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3200" cy="2887200"/>
                          </a:xfrm>
                          <a:prstGeom prst="rect">
                            <a:avLst/>
                          </a:prstGeom>
                        </pic:spPr>
                      </pic:pic>
                    </a:graphicData>
                  </a:graphic>
                </wp:inline>
              </w:drawing>
            </w:r>
          </w:p>
          <w:p w14:paraId="1B1AE1FC" w14:textId="31863EE6" w:rsidR="00ED7443" w:rsidRPr="0040185F" w:rsidRDefault="00ED7443" w:rsidP="0040185F">
            <w:pPr>
              <w:rPr>
                <w:color w:val="17365D" w:themeColor="text2" w:themeShade="BF"/>
                <w:lang w:val="en-US"/>
              </w:rPr>
            </w:pPr>
            <w:r>
              <w:rPr>
                <w:color w:val="17365D" w:themeColor="text2" w:themeShade="BF"/>
                <w:lang w:val="en-US"/>
              </w:rPr>
              <w:t>The SPF governance structure above includes all the mandatory elements introduced by the Public Service Pensions Act 2013 together with elements distinctive to SPF.</w:t>
            </w:r>
          </w:p>
          <w:p w14:paraId="2C979147" w14:textId="77777777" w:rsidR="00CB2A52" w:rsidRDefault="00CB2A52" w:rsidP="00C22506">
            <w:pPr>
              <w:pStyle w:val="Question"/>
            </w:pPr>
            <w:r w:rsidRPr="0027704C">
              <w:lastRenderedPageBreak/>
              <w:t xml:space="preserve">How well </w:t>
            </w:r>
            <w:r>
              <w:t>is the</w:t>
            </w:r>
            <w:r w:rsidRPr="0027704C">
              <w:t xml:space="preserve"> current system</w:t>
            </w:r>
            <w:r>
              <w:t xml:space="preserve"> governed</w:t>
            </w:r>
            <w:r w:rsidRPr="0027704C">
              <w:t xml:space="preserve">?  </w:t>
            </w:r>
          </w:p>
          <w:p w14:paraId="2C979148" w14:textId="77777777" w:rsidR="0040185F" w:rsidRDefault="00EB27FA" w:rsidP="0040185F">
            <w:pPr>
              <w:rPr>
                <w:color w:val="17365D" w:themeColor="text2" w:themeShade="BF"/>
                <w:lang w:val="en-US"/>
              </w:rPr>
            </w:pPr>
            <w:r w:rsidRPr="00EB27FA">
              <w:rPr>
                <w:color w:val="17365D" w:themeColor="text2" w:themeShade="BF"/>
                <w:lang w:val="en-US"/>
              </w:rPr>
              <w:t xml:space="preserve">The current system of governance </w:t>
            </w:r>
            <w:r w:rsidR="00C95D94">
              <w:rPr>
                <w:color w:val="17365D" w:themeColor="text2" w:themeShade="BF"/>
                <w:lang w:val="en-US"/>
              </w:rPr>
              <w:t xml:space="preserve">in the Scottish LGPS </w:t>
            </w:r>
            <w:r w:rsidRPr="00EB27FA">
              <w:rPr>
                <w:color w:val="17365D" w:themeColor="text2" w:themeShade="BF"/>
                <w:lang w:val="en-US"/>
              </w:rPr>
              <w:t>was</w:t>
            </w:r>
            <w:r w:rsidR="00C95D94">
              <w:rPr>
                <w:color w:val="17365D" w:themeColor="text2" w:themeShade="BF"/>
                <w:lang w:val="en-US"/>
              </w:rPr>
              <w:t xml:space="preserve"> only</w:t>
            </w:r>
            <w:r w:rsidR="00733DA3">
              <w:rPr>
                <w:color w:val="17365D" w:themeColor="text2" w:themeShade="BF"/>
                <w:lang w:val="en-US"/>
              </w:rPr>
              <w:t xml:space="preserve"> recently</w:t>
            </w:r>
            <w:r w:rsidR="00C95D94">
              <w:rPr>
                <w:color w:val="17365D" w:themeColor="text2" w:themeShade="BF"/>
                <w:lang w:val="en-US"/>
              </w:rPr>
              <w:t xml:space="preserve"> </w:t>
            </w:r>
            <w:r w:rsidRPr="00EB27FA">
              <w:rPr>
                <w:color w:val="17365D" w:themeColor="text2" w:themeShade="BF"/>
                <w:lang w:val="en-US"/>
              </w:rPr>
              <w:t>introduced</w:t>
            </w:r>
            <w:r w:rsidR="00733DA3">
              <w:rPr>
                <w:color w:val="17365D" w:themeColor="text2" w:themeShade="BF"/>
                <w:lang w:val="en-US"/>
              </w:rPr>
              <w:t xml:space="preserve"> - </w:t>
            </w:r>
            <w:r w:rsidRPr="00EB27FA">
              <w:rPr>
                <w:color w:val="17365D" w:themeColor="text2" w:themeShade="BF"/>
                <w:lang w:val="en-US"/>
              </w:rPr>
              <w:t>in 2015</w:t>
            </w:r>
            <w:r w:rsidR="00733DA3">
              <w:rPr>
                <w:color w:val="17365D" w:themeColor="text2" w:themeShade="BF"/>
                <w:lang w:val="en-US"/>
              </w:rPr>
              <w:t>.</w:t>
            </w:r>
            <w:r w:rsidRPr="00EB27FA">
              <w:rPr>
                <w:color w:val="17365D" w:themeColor="text2" w:themeShade="BF"/>
                <w:lang w:val="en-US"/>
              </w:rPr>
              <w:t xml:space="preserve"> </w:t>
            </w:r>
            <w:r w:rsidR="00733DA3">
              <w:rPr>
                <w:color w:val="17365D" w:themeColor="text2" w:themeShade="BF"/>
                <w:lang w:val="en-US"/>
              </w:rPr>
              <w:t xml:space="preserve">It was </w:t>
            </w:r>
            <w:r>
              <w:rPr>
                <w:color w:val="17365D" w:themeColor="text2" w:themeShade="BF"/>
                <w:lang w:val="en-US"/>
              </w:rPr>
              <w:t xml:space="preserve">the result of </w:t>
            </w:r>
            <w:r w:rsidR="00733DA3">
              <w:rPr>
                <w:color w:val="17365D" w:themeColor="text2" w:themeShade="BF"/>
                <w:lang w:val="en-US"/>
              </w:rPr>
              <w:t xml:space="preserve">extensive review by a </w:t>
            </w:r>
            <w:r w:rsidR="00C95D94">
              <w:rPr>
                <w:color w:val="17365D" w:themeColor="text2" w:themeShade="BF"/>
                <w:lang w:val="en-US"/>
              </w:rPr>
              <w:t xml:space="preserve">UK </w:t>
            </w:r>
            <w:r>
              <w:rPr>
                <w:color w:val="17365D" w:themeColor="text2" w:themeShade="BF"/>
                <w:lang w:val="en-US"/>
              </w:rPr>
              <w:t xml:space="preserve">government commission </w:t>
            </w:r>
            <w:r w:rsidR="00733DA3">
              <w:rPr>
                <w:color w:val="17365D" w:themeColor="text2" w:themeShade="BF"/>
                <w:lang w:val="en-US"/>
              </w:rPr>
              <w:t xml:space="preserve">leading to </w:t>
            </w:r>
            <w:r>
              <w:rPr>
                <w:color w:val="17365D" w:themeColor="text2" w:themeShade="BF"/>
                <w:lang w:val="en-US"/>
              </w:rPr>
              <w:t xml:space="preserve">primary legislation and </w:t>
            </w:r>
            <w:r w:rsidR="00733DA3">
              <w:rPr>
                <w:color w:val="17365D" w:themeColor="text2" w:themeShade="BF"/>
                <w:lang w:val="en-US"/>
              </w:rPr>
              <w:t xml:space="preserve">new </w:t>
            </w:r>
            <w:r>
              <w:rPr>
                <w:color w:val="17365D" w:themeColor="text2" w:themeShade="BF"/>
                <w:lang w:val="en-US"/>
              </w:rPr>
              <w:t xml:space="preserve">scheme regulations. </w:t>
            </w:r>
          </w:p>
          <w:p w14:paraId="2C979149" w14:textId="77777777" w:rsidR="00EB27FA" w:rsidRPr="00390BA9" w:rsidRDefault="00EB27FA" w:rsidP="0040185F">
            <w:pPr>
              <w:rPr>
                <w:color w:val="17365D" w:themeColor="text2" w:themeShade="BF"/>
                <w:lang w:val="en-US"/>
              </w:rPr>
            </w:pPr>
            <w:r w:rsidRPr="00390BA9">
              <w:rPr>
                <w:color w:val="17365D" w:themeColor="text2" w:themeShade="BF"/>
                <w:lang w:val="en-US"/>
              </w:rPr>
              <w:t xml:space="preserve">In 2016, the Scottish Public Pensions Agency (SPPA) commissioned KPMG to undertake a review of the arrangements. </w:t>
            </w:r>
            <w:r w:rsidR="00733DA3">
              <w:rPr>
                <w:color w:val="17365D" w:themeColor="text2" w:themeShade="BF"/>
                <w:lang w:val="en-US"/>
              </w:rPr>
              <w:t>The review’s</w:t>
            </w:r>
            <w:r w:rsidR="00390BA9" w:rsidRPr="00390BA9">
              <w:rPr>
                <w:color w:val="17365D" w:themeColor="text2" w:themeShade="BF"/>
                <w:lang w:val="en-US"/>
              </w:rPr>
              <w:t xml:space="preserve"> findings overall were positive and no fundamental weaknesses were identified, though </w:t>
            </w:r>
            <w:r w:rsidR="00733DA3">
              <w:rPr>
                <w:color w:val="17365D" w:themeColor="text2" w:themeShade="BF"/>
                <w:lang w:val="en-US"/>
              </w:rPr>
              <w:t xml:space="preserve">KPMG </w:t>
            </w:r>
            <w:r w:rsidRPr="00390BA9">
              <w:rPr>
                <w:color w:val="17365D" w:themeColor="text2" w:themeShade="BF"/>
                <w:lang w:val="en-US"/>
              </w:rPr>
              <w:t>made a number of recommendations</w:t>
            </w:r>
            <w:r w:rsidR="00390BA9" w:rsidRPr="00390BA9">
              <w:rPr>
                <w:color w:val="17365D" w:themeColor="text2" w:themeShade="BF"/>
                <w:lang w:val="en-US"/>
              </w:rPr>
              <w:t xml:space="preserve"> addressed at helping the new Boards establish their purpose.</w:t>
            </w:r>
            <w:r w:rsidRPr="00390BA9">
              <w:rPr>
                <w:color w:val="17365D" w:themeColor="text2" w:themeShade="BF"/>
                <w:lang w:val="en-US"/>
              </w:rPr>
              <w:t xml:space="preserve">  </w:t>
            </w:r>
          </w:p>
          <w:p w14:paraId="2C97914A" w14:textId="77777777" w:rsidR="00CB2A52" w:rsidRDefault="00CB2A52" w:rsidP="00C22506">
            <w:pPr>
              <w:pStyle w:val="Question"/>
            </w:pPr>
            <w:r w:rsidRPr="0027704C">
              <w:t xml:space="preserve">How would you improve </w:t>
            </w:r>
            <w:r>
              <w:t>governance of</w:t>
            </w:r>
            <w:r w:rsidRPr="0027704C">
              <w:t xml:space="preserve"> the current system? </w:t>
            </w:r>
          </w:p>
          <w:p w14:paraId="2C97914B" w14:textId="77777777" w:rsidR="00390BA9" w:rsidRPr="00390BA9" w:rsidRDefault="00390BA9" w:rsidP="00390BA9">
            <w:pPr>
              <w:rPr>
                <w:color w:val="17365D" w:themeColor="text2" w:themeShade="BF"/>
                <w:lang w:val="en-US"/>
              </w:rPr>
            </w:pPr>
            <w:r w:rsidRPr="00390BA9">
              <w:rPr>
                <w:color w:val="17365D" w:themeColor="text2" w:themeShade="BF"/>
                <w:lang w:val="en-US"/>
              </w:rPr>
              <w:t xml:space="preserve">Recommendations from the KPMG review should continue to be worked through and implemented. </w:t>
            </w:r>
          </w:p>
          <w:p w14:paraId="2C97914C" w14:textId="77777777" w:rsidR="00390BA9" w:rsidRDefault="00CB2A52" w:rsidP="00390BA9">
            <w:pPr>
              <w:pStyle w:val="Question"/>
              <w:numPr>
                <w:ilvl w:val="0"/>
                <w:numId w:val="26"/>
              </w:numPr>
            </w:pPr>
            <w:r w:rsidRPr="00F50CBA">
              <w:t>How important is it to maintain a local connection with respect to oversight and strategy?</w:t>
            </w:r>
          </w:p>
          <w:p w14:paraId="2C97914D" w14:textId="77777777" w:rsidR="00390BA9" w:rsidRPr="00DF776C" w:rsidRDefault="00DF776C" w:rsidP="00390BA9">
            <w:pPr>
              <w:rPr>
                <w:color w:val="17365D" w:themeColor="text2" w:themeShade="BF"/>
                <w:lang w:val="en-US"/>
              </w:rPr>
            </w:pPr>
            <w:r>
              <w:rPr>
                <w:color w:val="17365D" w:themeColor="text2" w:themeShade="BF"/>
                <w:lang w:val="en-US"/>
              </w:rPr>
              <w:t>The LGPS represents a very significant benefit for scheme members and a significant cost for employers. A local connection is essential to ensure that both employers and members can exercise meaningful oversight</w:t>
            </w:r>
            <w:r w:rsidR="008315CC">
              <w:rPr>
                <w:color w:val="17365D" w:themeColor="text2" w:themeShade="BF"/>
                <w:lang w:val="en-US"/>
              </w:rPr>
              <w:t xml:space="preserve">, </w:t>
            </w:r>
            <w:r>
              <w:rPr>
                <w:color w:val="17365D" w:themeColor="text2" w:themeShade="BF"/>
                <w:lang w:val="en-US"/>
              </w:rPr>
              <w:t xml:space="preserve">and </w:t>
            </w:r>
            <w:r w:rsidR="008315CC">
              <w:rPr>
                <w:color w:val="17365D" w:themeColor="text2" w:themeShade="BF"/>
                <w:lang w:val="en-US"/>
              </w:rPr>
              <w:t>that strategy is fully aligned to their interests.</w:t>
            </w:r>
            <w:r w:rsidRPr="00DF776C">
              <w:rPr>
                <w:color w:val="17365D" w:themeColor="text2" w:themeShade="BF"/>
                <w:lang w:val="en-US"/>
              </w:rPr>
              <w:t xml:space="preserve"> </w:t>
            </w:r>
          </w:p>
          <w:p w14:paraId="2C97914E" w14:textId="77777777" w:rsidR="00CB2A52" w:rsidRDefault="00CB2A52" w:rsidP="00390BA9">
            <w:pPr>
              <w:pStyle w:val="Question"/>
              <w:numPr>
                <w:ilvl w:val="0"/>
                <w:numId w:val="26"/>
              </w:numPr>
            </w:pPr>
            <w:r w:rsidRPr="00F50CBA">
              <w:t>How would you determine if the benefits of a local connection in governance outweigh the benefits of scale?</w:t>
            </w:r>
          </w:p>
          <w:p w14:paraId="2C97914F" w14:textId="77777777" w:rsidR="008315CC" w:rsidRPr="008315CC" w:rsidRDefault="008315CC" w:rsidP="008315CC">
            <w:pPr>
              <w:rPr>
                <w:color w:val="17365D" w:themeColor="text2" w:themeShade="BF"/>
                <w:lang w:val="en-US"/>
              </w:rPr>
            </w:pPr>
            <w:r>
              <w:rPr>
                <w:color w:val="17365D" w:themeColor="text2" w:themeShade="BF"/>
                <w:lang w:val="en-US"/>
              </w:rPr>
              <w:t>Given that</w:t>
            </w:r>
            <w:r w:rsidR="002D2D71">
              <w:rPr>
                <w:color w:val="17365D" w:themeColor="text2" w:themeShade="BF"/>
                <w:lang w:val="en-US"/>
              </w:rPr>
              <w:t xml:space="preserve"> the strong </w:t>
            </w:r>
            <w:r>
              <w:rPr>
                <w:color w:val="17365D" w:themeColor="text2" w:themeShade="BF"/>
                <w:lang w:val="en-US"/>
              </w:rPr>
              <w:t>loc</w:t>
            </w:r>
            <w:r w:rsidR="002D2D71">
              <w:rPr>
                <w:color w:val="17365D" w:themeColor="text2" w:themeShade="BF"/>
                <w:lang w:val="en-US"/>
              </w:rPr>
              <w:t xml:space="preserve">al connection represents the status quo for the LGPS in Scotland it would be necessary instead, in order to advocate fundamental change, to determine </w:t>
            </w:r>
            <w:r w:rsidR="00C95D94">
              <w:rPr>
                <w:color w:val="17365D" w:themeColor="text2" w:themeShade="BF"/>
                <w:lang w:val="en-US"/>
              </w:rPr>
              <w:t>that</w:t>
            </w:r>
            <w:r w:rsidR="002D2D71">
              <w:rPr>
                <w:color w:val="17365D" w:themeColor="text2" w:themeShade="BF"/>
                <w:lang w:val="en-US"/>
              </w:rPr>
              <w:t xml:space="preserve"> greater benefits of scale would outweigh the benefits of the local connection. Some academic evidence might suggest so, but this cannot be established with any certainty </w:t>
            </w:r>
            <w:r w:rsidR="002D2D71" w:rsidRPr="002D2D71">
              <w:rPr>
                <w:i/>
                <w:color w:val="17365D" w:themeColor="text2" w:themeShade="BF"/>
                <w:lang w:val="en-US"/>
              </w:rPr>
              <w:t>ex ante</w:t>
            </w:r>
            <w:r w:rsidR="002D2D71">
              <w:rPr>
                <w:color w:val="17365D" w:themeColor="text2" w:themeShade="BF"/>
                <w:lang w:val="en-US"/>
              </w:rPr>
              <w:t>. There is no evidence to suggest that the current model is fundamentally flawed. Indeed, the LGPS in Scotland is a considerable success story.</w:t>
            </w:r>
          </w:p>
          <w:p w14:paraId="2C979150" w14:textId="77777777" w:rsidR="00CB2A52" w:rsidRDefault="00CB2A52" w:rsidP="00F15DA6">
            <w:pPr>
              <w:pStyle w:val="ListNumber"/>
            </w:pPr>
            <w:r>
              <w:t xml:space="preserve">Operating risks: </w:t>
            </w:r>
          </w:p>
          <w:p w14:paraId="2C979151" w14:textId="77777777" w:rsidR="00CB2A52" w:rsidRDefault="00CB2A52" w:rsidP="00C22506">
            <w:pPr>
              <w:pStyle w:val="Question"/>
              <w:rPr>
                <w:color w:val="17365D" w:themeColor="text2" w:themeShade="BF"/>
              </w:rPr>
            </w:pPr>
            <w:r w:rsidRPr="00BC7350">
              <w:t>How well informed do feel about the operating risks of your fund? What information do you rely on to specify and measure these?</w:t>
            </w:r>
          </w:p>
          <w:p w14:paraId="2C979152" w14:textId="77777777" w:rsidR="00C86F34" w:rsidRPr="00C86F34" w:rsidRDefault="00C86F34" w:rsidP="002D2D71">
            <w:pPr>
              <w:rPr>
                <w:color w:val="17365D" w:themeColor="text2" w:themeShade="BF"/>
                <w:lang w:val="en-US"/>
              </w:rPr>
            </w:pPr>
            <w:r w:rsidRPr="00C86F34">
              <w:rPr>
                <w:color w:val="17365D" w:themeColor="text2" w:themeShade="BF"/>
                <w:lang w:val="en-US"/>
              </w:rPr>
              <w:t>SPF has a published Risk Policy and Strategy Statement which is available at:</w:t>
            </w:r>
          </w:p>
          <w:p w14:paraId="2C979153" w14:textId="77777777" w:rsidR="002D2D71" w:rsidRPr="00C86F34" w:rsidRDefault="00DD4E14" w:rsidP="002D2D71">
            <w:pPr>
              <w:rPr>
                <w:color w:val="17365D" w:themeColor="text2" w:themeShade="BF"/>
                <w:lang w:val="en-US"/>
              </w:rPr>
            </w:pPr>
            <w:hyperlink r:id="rId13" w:history="1">
              <w:r w:rsidR="00C86F34" w:rsidRPr="00C86F34">
                <w:rPr>
                  <w:rStyle w:val="Hyperlink"/>
                  <w:color w:val="17365D" w:themeColor="text2" w:themeShade="BF"/>
                  <w:lang w:val="en-US"/>
                </w:rPr>
                <w:t>https://www.spfo.org.uk/index.aspx?articleid=20464</w:t>
              </w:r>
            </w:hyperlink>
          </w:p>
          <w:p w14:paraId="2C979154" w14:textId="77777777" w:rsidR="00C86F34" w:rsidRDefault="00C86F34" w:rsidP="002D2D71">
            <w:pPr>
              <w:rPr>
                <w:color w:val="17365D" w:themeColor="text2" w:themeShade="BF"/>
                <w:lang w:val="en-US"/>
              </w:rPr>
            </w:pPr>
            <w:r w:rsidRPr="00C86F34">
              <w:rPr>
                <w:color w:val="17365D" w:themeColor="text2" w:themeShade="BF"/>
                <w:lang w:val="en-US"/>
              </w:rPr>
              <w:t>A summary Risk Register is revi</w:t>
            </w:r>
            <w:r>
              <w:rPr>
                <w:color w:val="17365D" w:themeColor="text2" w:themeShade="BF"/>
                <w:lang w:val="en-US"/>
              </w:rPr>
              <w:t>e</w:t>
            </w:r>
            <w:r w:rsidRPr="00C86F34">
              <w:rPr>
                <w:color w:val="17365D" w:themeColor="text2" w:themeShade="BF"/>
                <w:lang w:val="en-US"/>
              </w:rPr>
              <w:t xml:space="preserve">wed each quarter by the </w:t>
            </w:r>
            <w:r>
              <w:rPr>
                <w:color w:val="17365D" w:themeColor="text2" w:themeShade="BF"/>
                <w:lang w:val="en-US"/>
              </w:rPr>
              <w:t>SPF Committee and Board.</w:t>
            </w:r>
          </w:p>
          <w:p w14:paraId="2C979155" w14:textId="77777777" w:rsidR="00C86F34" w:rsidRDefault="00C86F34" w:rsidP="002D2D71">
            <w:pPr>
              <w:rPr>
                <w:color w:val="17365D" w:themeColor="text2" w:themeShade="BF"/>
                <w:lang w:val="en-US"/>
              </w:rPr>
            </w:pPr>
            <w:r>
              <w:rPr>
                <w:color w:val="17365D" w:themeColor="text2" w:themeShade="BF"/>
                <w:lang w:val="en-US"/>
              </w:rPr>
              <w:t>The detailed Risk Register is reviewed and published annually:</w:t>
            </w:r>
          </w:p>
          <w:p w14:paraId="2C979156" w14:textId="77777777" w:rsidR="00C86F34" w:rsidRDefault="00DD4E14" w:rsidP="002D2D71">
            <w:pPr>
              <w:rPr>
                <w:color w:val="17365D" w:themeColor="text2" w:themeShade="BF"/>
                <w:lang w:val="en-US"/>
              </w:rPr>
            </w:pPr>
            <w:hyperlink r:id="rId14" w:history="1">
              <w:r w:rsidR="00C86F34" w:rsidRPr="00AE60DF">
                <w:rPr>
                  <w:rStyle w:val="Hyperlink"/>
                  <w:lang w:val="en-US"/>
                  <w14:textFill>
                    <w14:solidFill>
                      <w14:srgbClr w14:val="0563C1">
                        <w14:lumMod w14:val="75000"/>
                      </w14:srgbClr>
                    </w14:solidFill>
                  </w14:textFill>
                </w:rPr>
                <w:t>http://www.glasgow.gov.uk/councillorsandcommittees/submissiondocuments.asp?submissionid=87156</w:t>
              </w:r>
            </w:hyperlink>
          </w:p>
          <w:p w14:paraId="2C979157" w14:textId="77777777" w:rsidR="00CB2A52" w:rsidRDefault="00CB2A52" w:rsidP="00C22506">
            <w:pPr>
              <w:pStyle w:val="Question"/>
            </w:pPr>
            <w:r w:rsidRPr="00BC7350">
              <w:t xml:space="preserve">How well are operating risks managed in the current system?  </w:t>
            </w:r>
          </w:p>
          <w:p w14:paraId="2C979158" w14:textId="468231B8" w:rsidR="00C86F34" w:rsidRPr="00C86F34" w:rsidRDefault="00C86F34" w:rsidP="00C86F34">
            <w:pPr>
              <w:rPr>
                <w:color w:val="17365D" w:themeColor="text2" w:themeShade="BF"/>
              </w:rPr>
            </w:pPr>
            <w:r>
              <w:rPr>
                <w:color w:val="17365D" w:themeColor="text2" w:themeShade="BF"/>
              </w:rPr>
              <w:lastRenderedPageBreak/>
              <w:t xml:space="preserve">SPF </w:t>
            </w:r>
            <w:r w:rsidRPr="00C86F34">
              <w:rPr>
                <w:color w:val="17365D" w:themeColor="text2" w:themeShade="BF"/>
              </w:rPr>
              <w:t>has a strong risk management culture.</w:t>
            </w:r>
            <w:r>
              <w:rPr>
                <w:color w:val="17365D" w:themeColor="text2" w:themeShade="BF"/>
              </w:rPr>
              <w:t xml:space="preserve"> </w:t>
            </w:r>
            <w:r w:rsidRPr="00C86F34">
              <w:rPr>
                <w:color w:val="17365D" w:themeColor="text2" w:themeShade="BF"/>
              </w:rPr>
              <w:t>The funding and investment strategies are firmly</w:t>
            </w:r>
            <w:r>
              <w:rPr>
                <w:color w:val="17365D" w:themeColor="text2" w:themeShade="BF"/>
              </w:rPr>
              <w:t xml:space="preserve"> </w:t>
            </w:r>
            <w:r w:rsidRPr="00C86F34">
              <w:rPr>
                <w:color w:val="17365D" w:themeColor="text2" w:themeShade="BF"/>
              </w:rPr>
              <w:t xml:space="preserve">risk-based and </w:t>
            </w:r>
            <w:r>
              <w:rPr>
                <w:color w:val="17365D" w:themeColor="text2" w:themeShade="BF"/>
              </w:rPr>
              <w:t xml:space="preserve">all operational risks are closely managed. </w:t>
            </w:r>
            <w:r w:rsidR="00D4073B">
              <w:rPr>
                <w:color w:val="17365D" w:themeColor="text2" w:themeShade="BF"/>
              </w:rPr>
              <w:t xml:space="preserve">The Strathclyde Pension Fund Office (SPFO) has </w:t>
            </w:r>
            <w:r w:rsidR="000C4A7C">
              <w:rPr>
                <w:color w:val="17365D" w:themeColor="text2" w:themeShade="BF"/>
              </w:rPr>
              <w:t xml:space="preserve">significant internal resource and expertise, and </w:t>
            </w:r>
            <w:r w:rsidR="00D4073B">
              <w:rPr>
                <w:color w:val="17365D" w:themeColor="text2" w:themeShade="BF"/>
              </w:rPr>
              <w:t>a robust regime of internal</w:t>
            </w:r>
            <w:r w:rsidR="00A8357D">
              <w:rPr>
                <w:color w:val="17365D" w:themeColor="text2" w:themeShade="BF"/>
              </w:rPr>
              <w:t xml:space="preserve"> controls</w:t>
            </w:r>
            <w:r w:rsidR="000C4A7C">
              <w:rPr>
                <w:color w:val="17365D" w:themeColor="text2" w:themeShade="BF"/>
              </w:rPr>
              <w:t>. T</w:t>
            </w:r>
            <w:r w:rsidR="00D4073B">
              <w:rPr>
                <w:color w:val="17365D" w:themeColor="text2" w:themeShade="BF"/>
              </w:rPr>
              <w:t xml:space="preserve">he internal resource is supported </w:t>
            </w:r>
            <w:r w:rsidR="000C4A7C">
              <w:rPr>
                <w:color w:val="17365D" w:themeColor="text2" w:themeShade="BF"/>
              </w:rPr>
              <w:t xml:space="preserve">and enhanced </w:t>
            </w:r>
            <w:r w:rsidR="00D4073B">
              <w:rPr>
                <w:color w:val="17365D" w:themeColor="text2" w:themeShade="BF"/>
              </w:rPr>
              <w:t>by a framework of external monitoring and advice including actuarial and investment consultants, auditors, and independent expert advisers (the Investment Advisory Panel).</w:t>
            </w:r>
            <w:r w:rsidR="00E226BF">
              <w:rPr>
                <w:color w:val="17365D" w:themeColor="text2" w:themeShade="BF"/>
              </w:rPr>
              <w:t xml:space="preserve"> External investment managers have significant risk and compliance resources.</w:t>
            </w:r>
          </w:p>
          <w:p w14:paraId="2C979159" w14:textId="77777777" w:rsidR="00CB2A52"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14:paraId="2C97915A" w14:textId="77777777" w:rsidR="00C86F34" w:rsidRPr="008E48E3" w:rsidRDefault="008E48E3" w:rsidP="00C86F34">
            <w:pPr>
              <w:rPr>
                <w:color w:val="17365D" w:themeColor="text2" w:themeShade="BF"/>
                <w:lang w:val="en-US"/>
              </w:rPr>
            </w:pPr>
            <w:r>
              <w:rPr>
                <w:color w:val="17365D" w:themeColor="text2" w:themeShade="BF"/>
                <w:lang w:val="en-US"/>
              </w:rPr>
              <w:t xml:space="preserve">The complexity of the scheme regulations and associated legislation </w:t>
            </w:r>
            <w:r w:rsidR="003F64A4">
              <w:rPr>
                <w:color w:val="17365D" w:themeColor="text2" w:themeShade="BF"/>
                <w:lang w:val="en-US"/>
              </w:rPr>
              <w:t>severely exacerbates operating risks. The regulations should be simplified.</w:t>
            </w:r>
          </w:p>
          <w:p w14:paraId="2C97915B" w14:textId="77777777" w:rsidR="00CB2A52" w:rsidRDefault="00CB2A52" w:rsidP="00F15DA6">
            <w:pPr>
              <w:pStyle w:val="ListNumber"/>
            </w:pPr>
            <w:r>
              <w:t xml:space="preserve">Infrastructure: </w:t>
            </w:r>
          </w:p>
          <w:p w14:paraId="2C97915C" w14:textId="77777777" w:rsidR="00CB2A52" w:rsidRDefault="00CB2A52" w:rsidP="00C22506">
            <w:pPr>
              <w:pStyle w:val="Question"/>
            </w:pPr>
            <w:r>
              <w:t>How well informed do you feel about your fund’s investments in infrastructure?</w:t>
            </w:r>
            <w:r w:rsidRPr="00F50CBA">
              <w:t xml:space="preserve"> </w:t>
            </w:r>
            <w:r>
              <w:t>What information do you rely on?</w:t>
            </w:r>
          </w:p>
          <w:p w14:paraId="2C97915D" w14:textId="443D0A53" w:rsidR="003F64A4" w:rsidRPr="00D8595A" w:rsidRDefault="00FF7851" w:rsidP="003F64A4">
            <w:pPr>
              <w:rPr>
                <w:color w:val="17365D" w:themeColor="text2" w:themeShade="BF"/>
                <w:lang w:val="en-US"/>
              </w:rPr>
            </w:pPr>
            <w:r w:rsidRPr="00D8595A">
              <w:rPr>
                <w:color w:val="17365D" w:themeColor="text2" w:themeShade="BF"/>
                <w:lang w:val="en-US"/>
              </w:rPr>
              <w:t xml:space="preserve">SPF has made </w:t>
            </w:r>
            <w:r w:rsidR="00D8595A" w:rsidRPr="00D8595A">
              <w:rPr>
                <w:color w:val="17365D" w:themeColor="text2" w:themeShade="BF"/>
                <w:lang w:val="en-US"/>
              </w:rPr>
              <w:t xml:space="preserve">18 separate </w:t>
            </w:r>
            <w:r w:rsidRPr="00D8595A">
              <w:rPr>
                <w:color w:val="17365D" w:themeColor="text2" w:themeShade="BF"/>
                <w:lang w:val="en-US"/>
              </w:rPr>
              <w:t xml:space="preserve">investments </w:t>
            </w:r>
            <w:r w:rsidR="00D8595A" w:rsidRPr="00D8595A">
              <w:rPr>
                <w:color w:val="17365D" w:themeColor="text2" w:themeShade="BF"/>
                <w:lang w:val="en-US"/>
              </w:rPr>
              <w:t xml:space="preserve">totaling over £500m </w:t>
            </w:r>
            <w:r w:rsidRPr="00D8595A">
              <w:rPr>
                <w:color w:val="17365D" w:themeColor="text2" w:themeShade="BF"/>
                <w:lang w:val="en-US"/>
              </w:rPr>
              <w:t>in UK infrastructure</w:t>
            </w:r>
            <w:r w:rsidR="00C95D94">
              <w:rPr>
                <w:color w:val="17365D" w:themeColor="text2" w:themeShade="BF"/>
                <w:lang w:val="en-US"/>
              </w:rPr>
              <w:t xml:space="preserve">, </w:t>
            </w:r>
            <w:r w:rsidR="006E0903">
              <w:rPr>
                <w:color w:val="17365D" w:themeColor="text2" w:themeShade="BF"/>
                <w:lang w:val="en-US"/>
              </w:rPr>
              <w:t xml:space="preserve">including £150m </w:t>
            </w:r>
            <w:r w:rsidR="00C95D94">
              <w:rPr>
                <w:color w:val="17365D" w:themeColor="text2" w:themeShade="BF"/>
                <w:lang w:val="en-US"/>
              </w:rPr>
              <w:t xml:space="preserve">in Scotland, </w:t>
            </w:r>
            <w:r w:rsidRPr="00D8595A">
              <w:rPr>
                <w:color w:val="17365D" w:themeColor="text2" w:themeShade="BF"/>
                <w:lang w:val="en-US"/>
              </w:rPr>
              <w:t>through its Direct Investment Portfolio</w:t>
            </w:r>
            <w:r w:rsidR="00D8595A">
              <w:rPr>
                <w:color w:val="17365D" w:themeColor="text2" w:themeShade="BF"/>
                <w:lang w:val="en-US"/>
              </w:rPr>
              <w:t xml:space="preserve"> (DIP)</w:t>
            </w:r>
            <w:r w:rsidRPr="00D8595A">
              <w:rPr>
                <w:color w:val="17365D" w:themeColor="text2" w:themeShade="BF"/>
                <w:lang w:val="en-US"/>
              </w:rPr>
              <w:t xml:space="preserve">. </w:t>
            </w:r>
            <w:r w:rsidR="00D8595A" w:rsidRPr="00D8595A">
              <w:rPr>
                <w:color w:val="17365D" w:themeColor="text2" w:themeShade="BF"/>
                <w:lang w:val="en-US"/>
              </w:rPr>
              <w:t>These span social and transport infrastructure and renewable energy including onshore wind, offshore wind, solar, small scale hydro and community power schemes.</w:t>
            </w:r>
          </w:p>
          <w:p w14:paraId="2C97915E" w14:textId="77777777" w:rsidR="00D8595A" w:rsidRDefault="00D8595A" w:rsidP="003F64A4">
            <w:pPr>
              <w:rPr>
                <w:color w:val="17365D" w:themeColor="text2" w:themeShade="BF"/>
                <w:lang w:val="en-US"/>
              </w:rPr>
            </w:pPr>
            <w:r>
              <w:rPr>
                <w:color w:val="17365D" w:themeColor="text2" w:themeShade="BF"/>
                <w:lang w:val="en-US"/>
              </w:rPr>
              <w:t>SPF has also recently agreed to invest £500m in a global infrastructure fund.</w:t>
            </w:r>
          </w:p>
          <w:p w14:paraId="2C97915F" w14:textId="77777777" w:rsidR="00D8595A" w:rsidRDefault="00D8595A" w:rsidP="003F64A4">
            <w:pPr>
              <w:rPr>
                <w:color w:val="17365D" w:themeColor="text2" w:themeShade="BF"/>
                <w:lang w:val="en-US"/>
              </w:rPr>
            </w:pPr>
            <w:r>
              <w:rPr>
                <w:color w:val="17365D" w:themeColor="text2" w:themeShade="BF"/>
                <w:lang w:val="en-US"/>
              </w:rPr>
              <w:t>Detailed proposals for each of these investments are published in the committee papers area of the Fund’s website:</w:t>
            </w:r>
          </w:p>
          <w:p w14:paraId="2C979160" w14:textId="77777777" w:rsidR="00D8595A" w:rsidRDefault="00DD4E14" w:rsidP="003F64A4">
            <w:pPr>
              <w:rPr>
                <w:color w:val="17365D" w:themeColor="text2" w:themeShade="BF"/>
                <w:lang w:val="en-US"/>
              </w:rPr>
            </w:pPr>
            <w:hyperlink r:id="rId15" w:history="1">
              <w:r w:rsidR="00D8595A" w:rsidRPr="00EE760A">
                <w:rPr>
                  <w:rStyle w:val="Hyperlink"/>
                  <w:lang w:val="en-US"/>
                </w:rPr>
                <w:t>https://www.spfo.org.uk/index.aspx?articleid=16036</w:t>
              </w:r>
            </w:hyperlink>
          </w:p>
          <w:p w14:paraId="2C979161" w14:textId="5B179847" w:rsidR="00D8595A" w:rsidRDefault="00D8595A" w:rsidP="003F64A4">
            <w:pPr>
              <w:rPr>
                <w:color w:val="17365D" w:themeColor="text2" w:themeShade="BF"/>
                <w:lang w:val="en-US"/>
              </w:rPr>
            </w:pPr>
            <w:r>
              <w:rPr>
                <w:color w:val="17365D" w:themeColor="text2" w:themeShade="BF"/>
                <w:lang w:val="en-US"/>
              </w:rPr>
              <w:t xml:space="preserve">A complete list of DIP investments is published in the </w:t>
            </w:r>
            <w:r w:rsidR="006018C2">
              <w:rPr>
                <w:color w:val="17365D" w:themeColor="text2" w:themeShade="BF"/>
                <w:lang w:val="en-US"/>
              </w:rPr>
              <w:t xml:space="preserve">quarterly investment performance report and in the investments section of the </w:t>
            </w:r>
            <w:r>
              <w:rPr>
                <w:color w:val="17365D" w:themeColor="text2" w:themeShade="BF"/>
                <w:lang w:val="en-US"/>
              </w:rPr>
              <w:t>SPF Annual Report.</w:t>
            </w:r>
          </w:p>
          <w:p w14:paraId="2C979162" w14:textId="77777777" w:rsidR="00CB2A52"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14:paraId="2C979163" w14:textId="77777777" w:rsidR="00261BA5" w:rsidRPr="00261BA5" w:rsidRDefault="00CD3011" w:rsidP="00261BA5">
            <w:pPr>
              <w:rPr>
                <w:color w:val="17365D" w:themeColor="text2" w:themeShade="BF"/>
                <w:lang w:val="en-US"/>
              </w:rPr>
            </w:pPr>
            <w:r>
              <w:rPr>
                <w:color w:val="17365D" w:themeColor="text2" w:themeShade="BF"/>
                <w:lang w:val="en-US"/>
              </w:rPr>
              <w:t xml:space="preserve">As with other asset classes, </w:t>
            </w:r>
            <w:r w:rsidR="00733DA3">
              <w:rPr>
                <w:color w:val="17365D" w:themeColor="text2" w:themeShade="BF"/>
                <w:lang w:val="en-US"/>
              </w:rPr>
              <w:t>i</w:t>
            </w:r>
            <w:r>
              <w:rPr>
                <w:color w:val="17365D" w:themeColor="text2" w:themeShade="BF"/>
                <w:lang w:val="en-US"/>
              </w:rPr>
              <w:t xml:space="preserve">nfrastructure investment requires a sound understanding of risk, return and governance characteristics. Like other private markets investments, infrastructure is </w:t>
            </w:r>
            <w:r w:rsidR="000037DD">
              <w:rPr>
                <w:color w:val="17365D" w:themeColor="text2" w:themeShade="BF"/>
                <w:lang w:val="en-US"/>
              </w:rPr>
              <w:t xml:space="preserve">relatively </w:t>
            </w:r>
            <w:r>
              <w:rPr>
                <w:color w:val="17365D" w:themeColor="text2" w:themeShade="BF"/>
                <w:lang w:val="en-US"/>
              </w:rPr>
              <w:t xml:space="preserve">illiquid, </w:t>
            </w:r>
            <w:r w:rsidR="000037DD">
              <w:rPr>
                <w:color w:val="17365D" w:themeColor="text2" w:themeShade="BF"/>
                <w:lang w:val="en-US"/>
              </w:rPr>
              <w:t>supply-constrained and expensive. But there are no insurmountable barriers, as SPF’s £1 billion of investment to date demonstrates.</w:t>
            </w:r>
            <w:r>
              <w:rPr>
                <w:color w:val="17365D" w:themeColor="text2" w:themeShade="BF"/>
                <w:lang w:val="en-US"/>
              </w:rPr>
              <w:t xml:space="preserve"> </w:t>
            </w:r>
          </w:p>
          <w:p w14:paraId="2C979164" w14:textId="77777777"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14:paraId="2C979165" w14:textId="77777777" w:rsidR="005F1411" w:rsidRPr="000037DD" w:rsidRDefault="00E85013" w:rsidP="005F1411">
            <w:pPr>
              <w:rPr>
                <w:color w:val="17365D" w:themeColor="text2" w:themeShade="BF"/>
                <w:lang w:val="en-US"/>
              </w:rPr>
            </w:pPr>
            <w:r>
              <w:rPr>
                <w:color w:val="17365D" w:themeColor="text2" w:themeShade="BF"/>
                <w:lang w:val="en-US"/>
              </w:rPr>
              <w:t xml:space="preserve">Levels of investment in any asset class are largely determined by its attractiveness relative to other </w:t>
            </w:r>
            <w:r w:rsidR="005F1411">
              <w:rPr>
                <w:color w:val="17365D" w:themeColor="text2" w:themeShade="BF"/>
                <w:lang w:val="en-US"/>
              </w:rPr>
              <w:t>alternatives</w:t>
            </w:r>
            <w:r>
              <w:rPr>
                <w:color w:val="17365D" w:themeColor="text2" w:themeShade="BF"/>
                <w:lang w:val="en-US"/>
              </w:rPr>
              <w:t xml:space="preserve">. </w:t>
            </w:r>
            <w:r w:rsidR="005F1411">
              <w:rPr>
                <w:color w:val="17365D" w:themeColor="text2" w:themeShade="BF"/>
                <w:lang w:val="en-US"/>
              </w:rPr>
              <w:t xml:space="preserve">For example, the feed-in-tariff regime has been instrumental in increasing institutional investment in renewable energy. SPF has taken full advantage of this opportunity with investments of over £330m. </w:t>
            </w:r>
          </w:p>
          <w:p w14:paraId="2C979166" w14:textId="4824F795" w:rsidR="005F1411" w:rsidRDefault="005F1411" w:rsidP="005F1411">
            <w:pPr>
              <w:rPr>
                <w:color w:val="17365D" w:themeColor="text2" w:themeShade="BF"/>
                <w:lang w:val="en-US"/>
              </w:rPr>
            </w:pPr>
            <w:r>
              <w:rPr>
                <w:color w:val="17365D" w:themeColor="text2" w:themeShade="BF"/>
                <w:lang w:val="en-US"/>
              </w:rPr>
              <w:t>Investment in infrastructure would increase if the supply of</w:t>
            </w:r>
            <w:r w:rsidR="006018C2">
              <w:rPr>
                <w:color w:val="17365D" w:themeColor="text2" w:themeShade="BF"/>
                <w:lang w:val="en-US"/>
              </w:rPr>
              <w:t xml:space="preserve"> attractive </w:t>
            </w:r>
            <w:r>
              <w:rPr>
                <w:color w:val="17365D" w:themeColor="text2" w:themeShade="BF"/>
                <w:lang w:val="en-US"/>
              </w:rPr>
              <w:t xml:space="preserve">opportunities increased, or the risk/return characteristics were improved. </w:t>
            </w:r>
          </w:p>
          <w:p w14:paraId="2C979167" w14:textId="77777777" w:rsidR="00513272" w:rsidRPr="005F1411" w:rsidRDefault="00CB2A52" w:rsidP="00F15DA6">
            <w:pPr>
              <w:pStyle w:val="ListParagraph"/>
              <w:numPr>
                <w:ilvl w:val="0"/>
                <w:numId w:val="14"/>
              </w:numPr>
              <w:rPr>
                <w:i/>
              </w:rPr>
            </w:pPr>
            <w:r w:rsidRPr="005F1411">
              <w:rPr>
                <w:i/>
              </w:rPr>
              <w:t>Do you have any additional comments about this option?</w:t>
            </w:r>
          </w:p>
          <w:p w14:paraId="2C979168" w14:textId="77777777" w:rsidR="00670BC4" w:rsidRPr="00670BC4" w:rsidRDefault="00670BC4" w:rsidP="00670BC4">
            <w:pPr>
              <w:rPr>
                <w:color w:val="17365D" w:themeColor="text2" w:themeShade="BF"/>
              </w:rPr>
            </w:pPr>
            <w:r>
              <w:rPr>
                <w:color w:val="17365D" w:themeColor="text2" w:themeShade="BF"/>
              </w:rPr>
              <w:lastRenderedPageBreak/>
              <w:t xml:space="preserve">It </w:t>
            </w:r>
            <w:r w:rsidRPr="00670BC4">
              <w:rPr>
                <w:color w:val="17365D" w:themeColor="text2" w:themeShade="BF"/>
              </w:rPr>
              <w:t>is worth re-iterating that the LGPS in Scotland is a considerable success story.</w:t>
            </w:r>
          </w:p>
          <w:p w14:paraId="2C979169" w14:textId="50DBBECC" w:rsidR="00670BC4" w:rsidRPr="00670BC4" w:rsidRDefault="00A8357D" w:rsidP="00670BC4">
            <w:pPr>
              <w:rPr>
                <w:color w:val="17365D" w:themeColor="text2" w:themeShade="BF"/>
              </w:rPr>
            </w:pPr>
            <w:r>
              <w:rPr>
                <w:color w:val="17365D" w:themeColor="text2" w:themeShade="BF"/>
              </w:rPr>
              <w:t xml:space="preserve">This can best be evidenced in the funding position. </w:t>
            </w:r>
            <w:r w:rsidR="00670BC4" w:rsidRPr="00670BC4">
              <w:rPr>
                <w:color w:val="17365D" w:themeColor="text2" w:themeShade="BF"/>
              </w:rPr>
              <w:t xml:space="preserve">The Scottish funds are all close to or above 100% funded meaning that their primary objective has been achieved. The LGPS in Scotland has </w:t>
            </w:r>
            <w:r>
              <w:rPr>
                <w:color w:val="17365D" w:themeColor="text2" w:themeShade="BF"/>
              </w:rPr>
              <w:t xml:space="preserve">for very many years </w:t>
            </w:r>
            <w:r w:rsidR="00670BC4" w:rsidRPr="00670BC4">
              <w:rPr>
                <w:color w:val="17365D" w:themeColor="text2" w:themeShade="BF"/>
              </w:rPr>
              <w:t>been better funded than its equivalent</w:t>
            </w:r>
            <w:r>
              <w:rPr>
                <w:color w:val="17365D" w:themeColor="text2" w:themeShade="BF"/>
              </w:rPr>
              <w:t xml:space="preserve"> in England and the rest of the UK</w:t>
            </w:r>
            <w:r w:rsidR="00670BC4" w:rsidRPr="00670BC4">
              <w:rPr>
                <w:color w:val="17365D" w:themeColor="text2" w:themeShade="BF"/>
              </w:rPr>
              <w:t>.</w:t>
            </w:r>
          </w:p>
          <w:p w14:paraId="2C97916A" w14:textId="77777777" w:rsidR="00670BC4" w:rsidRPr="00670BC4" w:rsidRDefault="00670BC4" w:rsidP="00670BC4">
            <w:pPr>
              <w:rPr>
                <w:color w:val="17365D" w:themeColor="text2" w:themeShade="BF"/>
              </w:rPr>
            </w:pPr>
            <w:r w:rsidRPr="00670BC4">
              <w:rPr>
                <w:color w:val="17365D" w:themeColor="text2" w:themeShade="BF"/>
              </w:rPr>
              <w:t xml:space="preserve">SPF has won multiple industry awards over many years - 5 in 2017- recognising our performance, service delivery, and commitment to innovative, responsible, long-term investing. </w:t>
            </w:r>
            <w:r w:rsidR="00C95D94">
              <w:rPr>
                <w:color w:val="17365D" w:themeColor="text2" w:themeShade="BF"/>
              </w:rPr>
              <w:t>Other Scottish LGPS funds have also been frequent award-winners.</w:t>
            </w:r>
          </w:p>
          <w:p w14:paraId="2C97916B" w14:textId="3EE3B41F" w:rsidR="000C4E12" w:rsidRPr="005F1411" w:rsidRDefault="00670BC4" w:rsidP="006018C2">
            <w:pPr>
              <w:rPr>
                <w:color w:val="17365D" w:themeColor="text2" w:themeShade="BF"/>
              </w:rPr>
            </w:pPr>
            <w:r w:rsidRPr="00670BC4">
              <w:rPr>
                <w:color w:val="17365D" w:themeColor="text2" w:themeShade="BF"/>
              </w:rPr>
              <w:t>The scheme does face significant challenges in the current, difficult pensions environment</w:t>
            </w:r>
            <w:r w:rsidR="006018C2">
              <w:rPr>
                <w:color w:val="17365D" w:themeColor="text2" w:themeShade="BF"/>
              </w:rPr>
              <w:t xml:space="preserve">. A number of these are described in the SAB structural review report. </w:t>
            </w:r>
            <w:r w:rsidRPr="00670BC4">
              <w:rPr>
                <w:color w:val="17365D" w:themeColor="text2" w:themeShade="BF"/>
              </w:rPr>
              <w:t xml:space="preserve"> </w:t>
            </w:r>
            <w:r w:rsidR="006018C2">
              <w:rPr>
                <w:color w:val="17365D" w:themeColor="text2" w:themeShade="BF"/>
              </w:rPr>
              <w:t>F</w:t>
            </w:r>
            <w:r w:rsidRPr="00670BC4">
              <w:rPr>
                <w:color w:val="17365D" w:themeColor="text2" w:themeShade="BF"/>
              </w:rPr>
              <w:t>unds will need to adapt to address these</w:t>
            </w:r>
            <w:r w:rsidR="006018C2">
              <w:rPr>
                <w:color w:val="17365D" w:themeColor="text2" w:themeShade="BF"/>
              </w:rPr>
              <w:t>, but</w:t>
            </w:r>
            <w:r w:rsidRPr="00670BC4">
              <w:rPr>
                <w:color w:val="17365D" w:themeColor="text2" w:themeShade="BF"/>
              </w:rPr>
              <w:t xml:space="preserve"> these challenges do not stem from the current structure, and revising the structure is unlikely to be a panacea for them.   </w:t>
            </w:r>
          </w:p>
        </w:tc>
      </w:tr>
    </w:tbl>
    <w:p w14:paraId="2C97916D" w14:textId="77777777" w:rsidR="00670BC4" w:rsidRDefault="00670BC4" w:rsidP="00513272">
      <w:pPr>
        <w:jc w:val="right"/>
      </w:pPr>
      <w:r>
        <w:lastRenderedPageBreak/>
        <w:br w:type="page"/>
      </w:r>
    </w:p>
    <w:p w14:paraId="2C97916E" w14:textId="77777777"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14:paraId="2C979171" w14:textId="77777777" w:rsidTr="00F3009F">
        <w:tc>
          <w:tcPr>
            <w:tcW w:w="9180" w:type="dxa"/>
            <w:tcBorders>
              <w:top w:val="nil"/>
              <w:left w:val="nil"/>
              <w:right w:val="nil"/>
            </w:tcBorders>
          </w:tcPr>
          <w:p w14:paraId="2C97916F" w14:textId="77777777" w:rsidR="00C22506" w:rsidRDefault="00616BC9" w:rsidP="000C4E12">
            <w:pPr>
              <w:pStyle w:val="Heading2"/>
              <w:outlineLvl w:val="1"/>
            </w:pPr>
            <w:r>
              <w:br w:type="page"/>
              <w:t>Question 2:</w:t>
            </w:r>
            <w:r w:rsidR="004B2A40">
              <w:t xml:space="preserve"> </w:t>
            </w:r>
            <w:r w:rsidR="004B2A40" w:rsidRPr="004B2A40">
              <w:t>Promote cooperation in investing and administration between the 11 funds</w:t>
            </w:r>
          </w:p>
          <w:p w14:paraId="2C979170" w14:textId="77777777" w:rsidR="00616BC9" w:rsidRDefault="00616BC9" w:rsidP="00C22506">
            <w:r>
              <w:t>The text can wrap onto additional pages</w:t>
            </w:r>
            <w:r w:rsidR="00CB2A52">
              <w:t>.</w:t>
            </w:r>
          </w:p>
        </w:tc>
      </w:tr>
      <w:tr w:rsidR="00616BC9" w14:paraId="2C979195" w14:textId="77777777" w:rsidTr="00F3009F">
        <w:tc>
          <w:tcPr>
            <w:tcW w:w="9180" w:type="dxa"/>
          </w:tcPr>
          <w:p w14:paraId="2C979172" w14:textId="77777777" w:rsidR="00CB2A52" w:rsidRDefault="00CB2A52" w:rsidP="00F15DA6">
            <w:pPr>
              <w:pStyle w:val="ListNumber"/>
              <w:numPr>
                <w:ilvl w:val="0"/>
                <w:numId w:val="10"/>
              </w:numPr>
            </w:pPr>
            <w:r>
              <w:t xml:space="preserve">Cost of investing: </w:t>
            </w:r>
          </w:p>
          <w:p w14:paraId="2C979173" w14:textId="77777777" w:rsidR="00CB2A52" w:rsidRDefault="00CB2A52" w:rsidP="00C22506">
            <w:pPr>
              <w:pStyle w:val="Question"/>
            </w:pPr>
            <w:r w:rsidRPr="00F50CBA">
              <w:t xml:space="preserve">What impact do you think promoting agreements between funds would have on investment costs? </w:t>
            </w:r>
          </w:p>
          <w:p w14:paraId="2C979174" w14:textId="77777777" w:rsidR="00670BC4" w:rsidRPr="00670BC4" w:rsidRDefault="00670BC4" w:rsidP="00670BC4">
            <w:pPr>
              <w:rPr>
                <w:color w:val="17365D" w:themeColor="text2" w:themeShade="BF"/>
                <w:lang w:val="en-US"/>
              </w:rPr>
            </w:pPr>
            <w:r>
              <w:rPr>
                <w:color w:val="17365D" w:themeColor="text2" w:themeShade="BF"/>
                <w:lang w:val="en-US"/>
              </w:rPr>
              <w:t xml:space="preserve">There could be some saving from, for instance, commissioning joint consultancy reports or reviews. Joint procurement of investment managers </w:t>
            </w:r>
            <w:r w:rsidR="00A71D1F">
              <w:rPr>
                <w:color w:val="17365D" w:themeColor="text2" w:themeShade="BF"/>
                <w:lang w:val="en-US"/>
              </w:rPr>
              <w:t xml:space="preserve">and other services </w:t>
            </w:r>
            <w:r>
              <w:rPr>
                <w:color w:val="17365D" w:themeColor="text2" w:themeShade="BF"/>
                <w:lang w:val="en-US"/>
              </w:rPr>
              <w:t xml:space="preserve">can also save duplication of the cost of the exercise and lead to reduced fees.  </w:t>
            </w:r>
          </w:p>
          <w:p w14:paraId="2C979175" w14:textId="77777777" w:rsidR="00CB2A52" w:rsidRDefault="00CB2A52" w:rsidP="00C22506">
            <w:pPr>
              <w:pStyle w:val="Question"/>
            </w:pPr>
            <w:r>
              <w:t>What w</w:t>
            </w:r>
            <w:r w:rsidRPr="00F50CBA">
              <w:t xml:space="preserve">ould be the positive impacts? </w:t>
            </w:r>
          </w:p>
          <w:p w14:paraId="2C979176" w14:textId="77777777" w:rsidR="00670BC4" w:rsidRPr="00670BC4" w:rsidRDefault="00670BC4" w:rsidP="00670BC4">
            <w:pPr>
              <w:rPr>
                <w:lang w:val="en-US"/>
              </w:rPr>
            </w:pPr>
            <w:r w:rsidRPr="00670BC4">
              <w:rPr>
                <w:color w:val="17365D" w:themeColor="text2" w:themeShade="BF"/>
                <w:lang w:val="en-US"/>
              </w:rPr>
              <w:t>Some cost saving</w:t>
            </w:r>
            <w:r>
              <w:rPr>
                <w:color w:val="17365D" w:themeColor="text2" w:themeShade="BF"/>
                <w:lang w:val="en-US"/>
              </w:rPr>
              <w:t xml:space="preserve">, though this </w:t>
            </w:r>
            <w:r w:rsidR="00C95D94">
              <w:rPr>
                <w:color w:val="17365D" w:themeColor="text2" w:themeShade="BF"/>
                <w:lang w:val="en-US"/>
              </w:rPr>
              <w:t>is unlikely to be material for SPF</w:t>
            </w:r>
            <w:r>
              <w:rPr>
                <w:color w:val="17365D" w:themeColor="text2" w:themeShade="BF"/>
                <w:lang w:val="en-US"/>
              </w:rPr>
              <w:t>.</w:t>
            </w:r>
            <w:r w:rsidRPr="00670BC4">
              <w:rPr>
                <w:color w:val="17365D" w:themeColor="text2" w:themeShade="BF"/>
                <w:lang w:val="en-US"/>
              </w:rPr>
              <w:t xml:space="preserve"> </w:t>
            </w:r>
            <w:r w:rsidR="00A71D1F">
              <w:rPr>
                <w:color w:val="17365D" w:themeColor="text2" w:themeShade="BF"/>
                <w:lang w:val="en-US"/>
              </w:rPr>
              <w:t>Positive benefits</w:t>
            </w:r>
            <w:r w:rsidR="00C95D94">
              <w:rPr>
                <w:color w:val="17365D" w:themeColor="text2" w:themeShade="BF"/>
                <w:lang w:val="en-US"/>
              </w:rPr>
              <w:t xml:space="preserve">, particularly for smaller funds </w:t>
            </w:r>
            <w:r w:rsidR="00733DA3">
              <w:rPr>
                <w:color w:val="17365D" w:themeColor="text2" w:themeShade="BF"/>
                <w:lang w:val="en-US"/>
              </w:rPr>
              <w:t xml:space="preserve">are more likely to be </w:t>
            </w:r>
            <w:r w:rsidR="00A71D1F">
              <w:rPr>
                <w:color w:val="17365D" w:themeColor="text2" w:themeShade="BF"/>
                <w:lang w:val="en-US"/>
              </w:rPr>
              <w:t xml:space="preserve">shared </w:t>
            </w:r>
            <w:r w:rsidR="00733DA3">
              <w:rPr>
                <w:color w:val="17365D" w:themeColor="text2" w:themeShade="BF"/>
                <w:lang w:val="en-US"/>
              </w:rPr>
              <w:t xml:space="preserve">and improved </w:t>
            </w:r>
            <w:r w:rsidR="00A71D1F">
              <w:rPr>
                <w:color w:val="17365D" w:themeColor="text2" w:themeShade="BF"/>
                <w:lang w:val="en-US"/>
              </w:rPr>
              <w:t xml:space="preserve">understanding </w:t>
            </w:r>
            <w:r w:rsidR="00733DA3">
              <w:rPr>
                <w:color w:val="17365D" w:themeColor="text2" w:themeShade="BF"/>
                <w:lang w:val="en-US"/>
              </w:rPr>
              <w:t xml:space="preserve">of risk, </w:t>
            </w:r>
            <w:r w:rsidR="00A71D1F">
              <w:rPr>
                <w:color w:val="17365D" w:themeColor="text2" w:themeShade="BF"/>
                <w:lang w:val="en-US"/>
              </w:rPr>
              <w:t>and more efficient use of internal resources.</w:t>
            </w:r>
          </w:p>
          <w:p w14:paraId="2C979177" w14:textId="77777777" w:rsidR="00CB2A52" w:rsidRDefault="00CB2A52" w:rsidP="00C22506">
            <w:pPr>
              <w:pStyle w:val="Question"/>
            </w:pPr>
            <w:r>
              <w:t>What w</w:t>
            </w:r>
            <w:r w:rsidRPr="00F50CBA">
              <w:t>ould be the negative impacts?</w:t>
            </w:r>
          </w:p>
          <w:p w14:paraId="2C979178" w14:textId="77777777" w:rsidR="00670BC4" w:rsidRPr="00A71D1F" w:rsidRDefault="00C95D94" w:rsidP="00670BC4">
            <w:pPr>
              <w:rPr>
                <w:color w:val="17365D" w:themeColor="text2" w:themeShade="BF"/>
                <w:lang w:val="en-US"/>
              </w:rPr>
            </w:pPr>
            <w:r>
              <w:rPr>
                <w:color w:val="17365D" w:themeColor="text2" w:themeShade="BF"/>
                <w:lang w:val="en-US"/>
              </w:rPr>
              <w:t>None.</w:t>
            </w:r>
          </w:p>
          <w:p w14:paraId="2C979179" w14:textId="77777777" w:rsidR="00CB2A52" w:rsidRDefault="00CB2A52" w:rsidP="00F15DA6">
            <w:pPr>
              <w:pStyle w:val="ListNumber"/>
              <w:numPr>
                <w:ilvl w:val="0"/>
                <w:numId w:val="10"/>
              </w:numPr>
            </w:pPr>
            <w:r>
              <w:t>Governance:</w:t>
            </w:r>
          </w:p>
          <w:p w14:paraId="2C97917A" w14:textId="77777777" w:rsidR="00CB2A52" w:rsidRDefault="00CB2A52" w:rsidP="00C22506">
            <w:pPr>
              <w:pStyle w:val="Question"/>
            </w:pPr>
            <w:r w:rsidRPr="00F50CBA">
              <w:t xml:space="preserve">What impact do you think promoting agreements between funds would have on </w:t>
            </w:r>
            <w:r>
              <w:t>governance</w:t>
            </w:r>
            <w:r w:rsidRPr="00F50CBA">
              <w:t xml:space="preserve">? </w:t>
            </w:r>
          </w:p>
          <w:p w14:paraId="2C97917B" w14:textId="77777777" w:rsidR="00A71D1F" w:rsidRPr="00A71D1F" w:rsidRDefault="00253AB5" w:rsidP="00A71D1F">
            <w:pPr>
              <w:rPr>
                <w:color w:val="17365D" w:themeColor="text2" w:themeShade="BF"/>
                <w:lang w:val="en-US"/>
              </w:rPr>
            </w:pPr>
            <w:r>
              <w:rPr>
                <w:color w:val="17365D" w:themeColor="text2" w:themeShade="BF"/>
                <w:lang w:val="en-US"/>
              </w:rPr>
              <w:t>No significant impact</w:t>
            </w:r>
            <w:r w:rsidR="00C95D94">
              <w:rPr>
                <w:color w:val="17365D" w:themeColor="text2" w:themeShade="BF"/>
                <w:lang w:val="en-US"/>
              </w:rPr>
              <w:t xml:space="preserve"> on </w:t>
            </w:r>
            <w:r w:rsidR="004C3922">
              <w:rPr>
                <w:color w:val="17365D" w:themeColor="text2" w:themeShade="BF"/>
                <w:lang w:val="en-US"/>
              </w:rPr>
              <w:t xml:space="preserve">individual </w:t>
            </w:r>
            <w:r w:rsidR="00C95D94">
              <w:rPr>
                <w:color w:val="17365D" w:themeColor="text2" w:themeShade="BF"/>
                <w:lang w:val="en-US"/>
              </w:rPr>
              <w:t xml:space="preserve">governance structures, but may lead to better outcomes. </w:t>
            </w:r>
            <w:r>
              <w:rPr>
                <w:color w:val="17365D" w:themeColor="text2" w:themeShade="BF"/>
                <w:lang w:val="en-US"/>
              </w:rPr>
              <w:t xml:space="preserve"> </w:t>
            </w:r>
          </w:p>
          <w:p w14:paraId="2C97917C" w14:textId="77777777" w:rsidR="00CB2A52" w:rsidRDefault="00CB2A52" w:rsidP="00C22506">
            <w:pPr>
              <w:pStyle w:val="Question"/>
            </w:pPr>
            <w:r>
              <w:t>What w</w:t>
            </w:r>
            <w:r w:rsidRPr="00F50CBA">
              <w:t xml:space="preserve">ould be the positive impacts? </w:t>
            </w:r>
          </w:p>
          <w:p w14:paraId="2C97917D" w14:textId="77777777" w:rsidR="00253AB5" w:rsidRPr="00253AB5" w:rsidRDefault="00253AB5" w:rsidP="00253AB5">
            <w:pPr>
              <w:rPr>
                <w:color w:val="17365D" w:themeColor="text2" w:themeShade="BF"/>
                <w:lang w:val="en-US"/>
              </w:rPr>
            </w:pPr>
            <w:r>
              <w:rPr>
                <w:color w:val="17365D" w:themeColor="text2" w:themeShade="BF"/>
                <w:lang w:val="en-US"/>
              </w:rPr>
              <w:t>Reduce</w:t>
            </w:r>
            <w:r w:rsidR="004C3922">
              <w:rPr>
                <w:color w:val="17365D" w:themeColor="text2" w:themeShade="BF"/>
                <w:lang w:val="en-US"/>
              </w:rPr>
              <w:t>d</w:t>
            </w:r>
            <w:r>
              <w:rPr>
                <w:color w:val="17365D" w:themeColor="text2" w:themeShade="BF"/>
                <w:lang w:val="en-US"/>
              </w:rPr>
              <w:t xml:space="preserve"> duplication of </w:t>
            </w:r>
            <w:r w:rsidR="004C3922">
              <w:rPr>
                <w:color w:val="17365D" w:themeColor="text2" w:themeShade="BF"/>
                <w:lang w:val="en-US"/>
              </w:rPr>
              <w:t xml:space="preserve">governance </w:t>
            </w:r>
            <w:r>
              <w:rPr>
                <w:color w:val="17365D" w:themeColor="text2" w:themeShade="BF"/>
                <w:lang w:val="en-US"/>
              </w:rPr>
              <w:t>effort.</w:t>
            </w:r>
            <w:r w:rsidR="004C3922">
              <w:rPr>
                <w:color w:val="17365D" w:themeColor="text2" w:themeShade="BF"/>
                <w:lang w:val="en-US"/>
              </w:rPr>
              <w:t xml:space="preserve"> Improved collective governance of the scheme</w:t>
            </w:r>
          </w:p>
          <w:p w14:paraId="2C97917E" w14:textId="77777777" w:rsidR="00CB2A52" w:rsidRDefault="00CB2A52" w:rsidP="00C22506">
            <w:pPr>
              <w:pStyle w:val="Question"/>
            </w:pPr>
            <w:r>
              <w:t>What w</w:t>
            </w:r>
            <w:r w:rsidRPr="00F50CBA">
              <w:t>ould be the negative impacts?</w:t>
            </w:r>
          </w:p>
          <w:p w14:paraId="2C97917F" w14:textId="77777777" w:rsidR="00253AB5" w:rsidRPr="00371934" w:rsidRDefault="00253AB5" w:rsidP="00253AB5">
            <w:pPr>
              <w:rPr>
                <w:color w:val="17365D" w:themeColor="text2" w:themeShade="BF"/>
                <w:lang w:val="en-US"/>
              </w:rPr>
            </w:pPr>
            <w:r w:rsidRPr="00371934">
              <w:rPr>
                <w:color w:val="17365D" w:themeColor="text2" w:themeShade="BF"/>
                <w:lang w:val="en-US"/>
              </w:rPr>
              <w:t>No significant negative impacts</w:t>
            </w:r>
            <w:r w:rsidR="00C95D94">
              <w:rPr>
                <w:color w:val="17365D" w:themeColor="text2" w:themeShade="BF"/>
                <w:lang w:val="en-US"/>
              </w:rPr>
              <w:t>,</w:t>
            </w:r>
            <w:r w:rsidR="00C95D94" w:rsidRPr="00C95D94">
              <w:rPr>
                <w:color w:val="17365D" w:themeColor="text2" w:themeShade="BF"/>
                <w:lang w:val="en-US"/>
              </w:rPr>
              <w:t xml:space="preserve"> but the need to co-ordinate activity and decision-making would be a complication.</w:t>
            </w:r>
          </w:p>
          <w:p w14:paraId="2C979180" w14:textId="77777777" w:rsidR="00CB2A52" w:rsidRDefault="00CB2A52" w:rsidP="00F15DA6">
            <w:pPr>
              <w:pStyle w:val="ListNumber"/>
              <w:numPr>
                <w:ilvl w:val="0"/>
                <w:numId w:val="10"/>
              </w:numPr>
            </w:pPr>
            <w:r>
              <w:t xml:space="preserve">Operating risks: </w:t>
            </w:r>
          </w:p>
          <w:p w14:paraId="2C979181" w14:textId="77777777"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14:paraId="2C979182" w14:textId="77777777" w:rsidR="004C3922" w:rsidRPr="004C3922" w:rsidRDefault="004C3922" w:rsidP="004C3922">
            <w:pPr>
              <w:rPr>
                <w:color w:val="17365D" w:themeColor="text2" w:themeShade="BF"/>
                <w:lang w:val="en-US"/>
              </w:rPr>
            </w:pPr>
            <w:r w:rsidRPr="004C3922">
              <w:rPr>
                <w:color w:val="17365D" w:themeColor="text2" w:themeShade="BF"/>
                <w:lang w:val="en-US"/>
              </w:rPr>
              <w:t>No significant impact for SPF</w:t>
            </w:r>
            <w:r>
              <w:rPr>
                <w:color w:val="17365D" w:themeColor="text2" w:themeShade="BF"/>
                <w:lang w:val="en-US"/>
              </w:rPr>
              <w:t>.</w:t>
            </w:r>
          </w:p>
          <w:p w14:paraId="2C979183" w14:textId="77777777" w:rsidR="00CB2A52" w:rsidRDefault="00CB2A52" w:rsidP="00C22506">
            <w:pPr>
              <w:pStyle w:val="Question"/>
            </w:pPr>
            <w:r>
              <w:t>What w</w:t>
            </w:r>
            <w:r w:rsidRPr="00F50CBA">
              <w:t xml:space="preserve">ould be the positive impacts? </w:t>
            </w:r>
          </w:p>
          <w:p w14:paraId="2C979184" w14:textId="77777777" w:rsidR="004C3922" w:rsidRPr="00253AB5" w:rsidRDefault="004C3922" w:rsidP="004C3922">
            <w:pPr>
              <w:rPr>
                <w:color w:val="17365D" w:themeColor="text2" w:themeShade="BF"/>
                <w:lang w:val="en-US"/>
              </w:rPr>
            </w:pPr>
            <w:r>
              <w:rPr>
                <w:color w:val="17365D" w:themeColor="text2" w:themeShade="BF"/>
                <w:lang w:val="en-US"/>
              </w:rPr>
              <w:lastRenderedPageBreak/>
              <w:t>Could improve risk management and support for smaller funds.</w:t>
            </w:r>
          </w:p>
          <w:p w14:paraId="2C979185" w14:textId="77777777" w:rsidR="00CB2A52" w:rsidRDefault="00CB2A52" w:rsidP="00C22506">
            <w:pPr>
              <w:pStyle w:val="Question"/>
            </w:pPr>
            <w:r>
              <w:t>What w</w:t>
            </w:r>
            <w:r w:rsidRPr="00F50CBA">
              <w:t>ould be the negative impacts?</w:t>
            </w:r>
          </w:p>
          <w:p w14:paraId="2C979186" w14:textId="7A1B0A9D" w:rsidR="00AD1D40" w:rsidRPr="00AD1D40" w:rsidRDefault="00A8357D" w:rsidP="00AD1D40">
            <w:pPr>
              <w:rPr>
                <w:lang w:val="en-US"/>
              </w:rPr>
            </w:pPr>
            <w:r>
              <w:rPr>
                <w:color w:val="17365D" w:themeColor="text2" w:themeShade="BF"/>
                <w:lang w:val="en-US"/>
              </w:rPr>
              <w:t xml:space="preserve">No significant </w:t>
            </w:r>
            <w:r w:rsidR="00F3009F">
              <w:rPr>
                <w:color w:val="17365D" w:themeColor="text2" w:themeShade="BF"/>
                <w:lang w:val="en-US"/>
              </w:rPr>
              <w:t>negative</w:t>
            </w:r>
            <w:r w:rsidR="00AD1D40">
              <w:rPr>
                <w:color w:val="17365D" w:themeColor="text2" w:themeShade="BF"/>
                <w:lang w:val="en-US"/>
              </w:rPr>
              <w:t xml:space="preserve"> impact.</w:t>
            </w:r>
          </w:p>
          <w:p w14:paraId="2C979187" w14:textId="77777777" w:rsidR="00CB2A52" w:rsidRPr="00F50CBA" w:rsidRDefault="00CB2A52" w:rsidP="00F15DA6">
            <w:pPr>
              <w:pStyle w:val="ListNumber"/>
              <w:numPr>
                <w:ilvl w:val="0"/>
                <w:numId w:val="10"/>
              </w:numPr>
              <w:rPr>
                <w:u w:val="single"/>
              </w:rPr>
            </w:pPr>
            <w:r>
              <w:t>Infrastructure:</w:t>
            </w:r>
          </w:p>
          <w:p w14:paraId="2C979188" w14:textId="77777777"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14:paraId="2C979189" w14:textId="77777777" w:rsidR="00AD1D40" w:rsidRPr="00AD1D40" w:rsidRDefault="00AD1D40" w:rsidP="00AD1D40">
            <w:pPr>
              <w:rPr>
                <w:color w:val="17365D" w:themeColor="text2" w:themeShade="BF"/>
                <w:lang w:val="en-US"/>
              </w:rPr>
            </w:pPr>
            <w:r>
              <w:rPr>
                <w:color w:val="17365D" w:themeColor="text2" w:themeShade="BF"/>
                <w:lang w:val="en-US"/>
              </w:rPr>
              <w:t>Jointly</w:t>
            </w:r>
            <w:r w:rsidR="00647C8D">
              <w:rPr>
                <w:color w:val="17365D" w:themeColor="text2" w:themeShade="BF"/>
                <w:lang w:val="en-US"/>
              </w:rPr>
              <w:t>-</w:t>
            </w:r>
            <w:r>
              <w:rPr>
                <w:color w:val="17365D" w:themeColor="text2" w:themeShade="BF"/>
                <w:lang w:val="en-US"/>
              </w:rPr>
              <w:t>commissioned consultanc</w:t>
            </w:r>
            <w:r w:rsidR="00647C8D">
              <w:rPr>
                <w:color w:val="17365D" w:themeColor="text2" w:themeShade="BF"/>
                <w:lang w:val="en-US"/>
              </w:rPr>
              <w:t>y reports, due diligence and legal review could reduce costs</w:t>
            </w:r>
            <w:r w:rsidR="004C3922">
              <w:rPr>
                <w:color w:val="17365D" w:themeColor="text2" w:themeShade="BF"/>
                <w:lang w:val="en-US"/>
              </w:rPr>
              <w:t xml:space="preserve"> and facilitate some additional investment</w:t>
            </w:r>
            <w:r w:rsidR="00647C8D">
              <w:rPr>
                <w:color w:val="17365D" w:themeColor="text2" w:themeShade="BF"/>
                <w:lang w:val="en-US"/>
              </w:rPr>
              <w:t xml:space="preserve">.  </w:t>
            </w:r>
          </w:p>
          <w:p w14:paraId="2C97918A" w14:textId="77777777" w:rsidR="00CB2A52" w:rsidRDefault="00CB2A52" w:rsidP="00C22506">
            <w:pPr>
              <w:pStyle w:val="Question"/>
            </w:pPr>
            <w:r>
              <w:t>What w</w:t>
            </w:r>
            <w:r w:rsidRPr="00F50CBA">
              <w:t xml:space="preserve">ould be the positive impacts? </w:t>
            </w:r>
          </w:p>
          <w:p w14:paraId="2C97918B" w14:textId="77777777" w:rsidR="00647C8D" w:rsidRPr="00647C8D" w:rsidRDefault="00647C8D" w:rsidP="00647C8D">
            <w:pPr>
              <w:rPr>
                <w:lang w:val="en-US"/>
              </w:rPr>
            </w:pPr>
            <w:r w:rsidRPr="00647C8D">
              <w:rPr>
                <w:color w:val="17365D" w:themeColor="text2" w:themeShade="BF"/>
                <w:lang w:val="en-US"/>
              </w:rPr>
              <w:t>Marginal benefit to larger funds</w:t>
            </w:r>
            <w:r>
              <w:rPr>
                <w:color w:val="17365D" w:themeColor="text2" w:themeShade="BF"/>
                <w:lang w:val="en-US"/>
              </w:rPr>
              <w:t>. M</w:t>
            </w:r>
            <w:r w:rsidRPr="00647C8D">
              <w:rPr>
                <w:color w:val="17365D" w:themeColor="text2" w:themeShade="BF"/>
                <w:lang w:val="en-US"/>
              </w:rPr>
              <w:t>ight remove perceived barrier</w:t>
            </w:r>
            <w:r w:rsidR="00F3009F">
              <w:rPr>
                <w:color w:val="17365D" w:themeColor="text2" w:themeShade="BF"/>
                <w:lang w:val="en-US"/>
              </w:rPr>
              <w:t>s</w:t>
            </w:r>
            <w:r w:rsidRPr="00647C8D">
              <w:rPr>
                <w:color w:val="17365D" w:themeColor="text2" w:themeShade="BF"/>
                <w:lang w:val="en-US"/>
              </w:rPr>
              <w:t xml:space="preserve"> for smaller funds. </w:t>
            </w:r>
          </w:p>
          <w:p w14:paraId="2C97918C" w14:textId="77777777" w:rsidR="00CB2A52" w:rsidRDefault="00CB2A52" w:rsidP="00C22506">
            <w:pPr>
              <w:pStyle w:val="Question"/>
            </w:pPr>
            <w:r>
              <w:t>What w</w:t>
            </w:r>
            <w:r w:rsidRPr="00F50CBA">
              <w:t>ould be the negative impacts?</w:t>
            </w:r>
          </w:p>
          <w:p w14:paraId="2C97918D" w14:textId="77777777" w:rsidR="00647C8D" w:rsidRPr="00647C8D" w:rsidRDefault="00647C8D" w:rsidP="00647C8D">
            <w:pPr>
              <w:rPr>
                <w:color w:val="17365D" w:themeColor="text2" w:themeShade="BF"/>
                <w:lang w:val="en-US"/>
              </w:rPr>
            </w:pPr>
            <w:r>
              <w:rPr>
                <w:color w:val="17365D" w:themeColor="text2" w:themeShade="BF"/>
                <w:lang w:val="en-US"/>
              </w:rPr>
              <w:t>No significant negative impact.</w:t>
            </w:r>
          </w:p>
          <w:p w14:paraId="2C97918E" w14:textId="77777777" w:rsidR="00CB2A52" w:rsidRDefault="00CB2A52" w:rsidP="00F15DA6">
            <w:pPr>
              <w:pStyle w:val="ListNumber"/>
              <w:numPr>
                <w:ilvl w:val="0"/>
                <w:numId w:val="10"/>
              </w:numPr>
            </w:pPr>
            <w:r>
              <w:t>Do you have any additional comments about this option?</w:t>
            </w:r>
          </w:p>
          <w:p w14:paraId="2C97918F" w14:textId="77777777" w:rsidR="00647C8D" w:rsidRDefault="00647C8D" w:rsidP="00670BC4">
            <w:pPr>
              <w:rPr>
                <w:color w:val="17365D" w:themeColor="text2" w:themeShade="BF"/>
              </w:rPr>
            </w:pPr>
            <w:r>
              <w:rPr>
                <w:color w:val="17365D" w:themeColor="text2" w:themeShade="BF"/>
              </w:rPr>
              <w:t>Significant co-operation between the Scottish funds and the wider LGPS network already exists.</w:t>
            </w:r>
          </w:p>
          <w:p w14:paraId="2C979190" w14:textId="77777777" w:rsidR="00616BC9" w:rsidRDefault="00647C8D" w:rsidP="00647C8D">
            <w:pPr>
              <w:rPr>
                <w:color w:val="17365D" w:themeColor="text2" w:themeShade="BF"/>
              </w:rPr>
            </w:pPr>
            <w:r>
              <w:rPr>
                <w:color w:val="17365D" w:themeColor="text2" w:themeShade="BF"/>
              </w:rPr>
              <w:t xml:space="preserve">LGPS </w:t>
            </w:r>
            <w:r w:rsidR="004C3922">
              <w:rPr>
                <w:color w:val="17365D" w:themeColor="text2" w:themeShade="BF"/>
              </w:rPr>
              <w:t xml:space="preserve">(UK) </w:t>
            </w:r>
            <w:r>
              <w:rPr>
                <w:color w:val="17365D" w:themeColor="text2" w:themeShade="BF"/>
              </w:rPr>
              <w:t xml:space="preserve">National Frameworks are in place </w:t>
            </w:r>
            <w:r w:rsidR="00467551">
              <w:rPr>
                <w:color w:val="17365D" w:themeColor="text2" w:themeShade="BF"/>
              </w:rPr>
              <w:t xml:space="preserve">and are widely used </w:t>
            </w:r>
            <w:r>
              <w:rPr>
                <w:color w:val="17365D" w:themeColor="text2" w:themeShade="BF"/>
              </w:rPr>
              <w:t xml:space="preserve">for a range of services including actuarial, investment consultancy, stewardship, global custody, performance and cost monitoring, legal, transition management and third party administration services. </w:t>
            </w:r>
          </w:p>
          <w:p w14:paraId="2C979191" w14:textId="77777777" w:rsidR="00467551" w:rsidRDefault="00647C8D" w:rsidP="00467551">
            <w:pPr>
              <w:rPr>
                <w:color w:val="17365D" w:themeColor="text2" w:themeShade="BF"/>
              </w:rPr>
            </w:pPr>
            <w:r>
              <w:rPr>
                <w:color w:val="17365D" w:themeColor="text2" w:themeShade="BF"/>
              </w:rPr>
              <w:t xml:space="preserve">Scottish </w:t>
            </w:r>
            <w:r w:rsidR="004C3922">
              <w:rPr>
                <w:color w:val="17365D" w:themeColor="text2" w:themeShade="BF"/>
              </w:rPr>
              <w:t xml:space="preserve">LGPS </w:t>
            </w:r>
            <w:r>
              <w:rPr>
                <w:color w:val="17365D" w:themeColor="text2" w:themeShade="BF"/>
              </w:rPr>
              <w:t>framework agreem</w:t>
            </w:r>
            <w:r w:rsidR="00467551">
              <w:rPr>
                <w:color w:val="17365D" w:themeColor="text2" w:themeShade="BF"/>
              </w:rPr>
              <w:t>e</w:t>
            </w:r>
            <w:r>
              <w:rPr>
                <w:color w:val="17365D" w:themeColor="text2" w:themeShade="BF"/>
              </w:rPr>
              <w:t xml:space="preserve">nts </w:t>
            </w:r>
            <w:r w:rsidR="00467551">
              <w:rPr>
                <w:color w:val="17365D" w:themeColor="text2" w:themeShade="BF"/>
              </w:rPr>
              <w:t>have been put in place for portfolio management, member tracing, and scheme administration.</w:t>
            </w:r>
          </w:p>
          <w:p w14:paraId="2C979192" w14:textId="77777777" w:rsidR="008F1C07" w:rsidRDefault="008F1C07" w:rsidP="00467551">
            <w:pPr>
              <w:rPr>
                <w:color w:val="17365D" w:themeColor="text2" w:themeShade="BF"/>
              </w:rPr>
            </w:pPr>
            <w:r>
              <w:rPr>
                <w:color w:val="17365D" w:themeColor="text2" w:themeShade="BF"/>
              </w:rPr>
              <w:t xml:space="preserve">SPF has carried out joint due diligence with other funds on </w:t>
            </w:r>
            <w:r w:rsidR="004C3922">
              <w:rPr>
                <w:color w:val="17365D" w:themeColor="text2" w:themeShade="BF"/>
              </w:rPr>
              <w:t xml:space="preserve">some </w:t>
            </w:r>
            <w:r>
              <w:rPr>
                <w:color w:val="17365D" w:themeColor="text2" w:themeShade="BF"/>
              </w:rPr>
              <w:t>investments.</w:t>
            </w:r>
          </w:p>
          <w:p w14:paraId="2C979193" w14:textId="77777777" w:rsidR="00467551" w:rsidRDefault="00467551" w:rsidP="00467551">
            <w:pPr>
              <w:rPr>
                <w:color w:val="17365D" w:themeColor="text2" w:themeShade="BF"/>
              </w:rPr>
            </w:pPr>
            <w:r>
              <w:rPr>
                <w:color w:val="17365D" w:themeColor="text2" w:themeShade="BF"/>
              </w:rPr>
              <w:t>Introduction of LGPS 2015</w:t>
            </w:r>
            <w:r w:rsidR="00F3009F">
              <w:rPr>
                <w:color w:val="17365D" w:themeColor="text2" w:themeShade="BF"/>
              </w:rPr>
              <w:t>, and the associated member and employer communications,</w:t>
            </w:r>
            <w:r>
              <w:rPr>
                <w:color w:val="17365D" w:themeColor="text2" w:themeShade="BF"/>
              </w:rPr>
              <w:t xml:space="preserve"> was a </w:t>
            </w:r>
            <w:r w:rsidR="00F3009F">
              <w:rPr>
                <w:color w:val="17365D" w:themeColor="text2" w:themeShade="BF"/>
              </w:rPr>
              <w:t xml:space="preserve">large-scale </w:t>
            </w:r>
            <w:r>
              <w:rPr>
                <w:color w:val="17365D" w:themeColor="text2" w:themeShade="BF"/>
              </w:rPr>
              <w:t>collaborative exercise between</w:t>
            </w:r>
            <w:r w:rsidR="00F3009F">
              <w:rPr>
                <w:color w:val="17365D" w:themeColor="text2" w:themeShade="BF"/>
              </w:rPr>
              <w:t xml:space="preserve"> all </w:t>
            </w:r>
            <w:r>
              <w:rPr>
                <w:color w:val="17365D" w:themeColor="text2" w:themeShade="BF"/>
              </w:rPr>
              <w:t xml:space="preserve">the </w:t>
            </w:r>
            <w:r w:rsidR="00F3009F">
              <w:rPr>
                <w:color w:val="17365D" w:themeColor="text2" w:themeShade="BF"/>
              </w:rPr>
              <w:t xml:space="preserve">Scottish </w:t>
            </w:r>
            <w:r>
              <w:rPr>
                <w:color w:val="17365D" w:themeColor="text2" w:themeShade="BF"/>
              </w:rPr>
              <w:t xml:space="preserve">funds.   </w:t>
            </w:r>
          </w:p>
          <w:p w14:paraId="2C979194" w14:textId="155F7471" w:rsidR="00647C8D" w:rsidRDefault="00733DA3" w:rsidP="00467551">
            <w:r w:rsidRPr="00733DA3">
              <w:rPr>
                <w:color w:val="17365D" w:themeColor="text2" w:themeShade="BF"/>
              </w:rPr>
              <w:t xml:space="preserve">There is undoubtedly scope </w:t>
            </w:r>
            <w:r w:rsidR="00815A78">
              <w:rPr>
                <w:color w:val="17365D" w:themeColor="text2" w:themeShade="BF"/>
              </w:rPr>
              <w:t xml:space="preserve">and willingness </w:t>
            </w:r>
            <w:r w:rsidRPr="00733DA3">
              <w:rPr>
                <w:color w:val="17365D" w:themeColor="text2" w:themeShade="BF"/>
              </w:rPr>
              <w:t>to bui</w:t>
            </w:r>
            <w:r>
              <w:rPr>
                <w:color w:val="17365D" w:themeColor="text2" w:themeShade="BF"/>
              </w:rPr>
              <w:t>l</w:t>
            </w:r>
            <w:r w:rsidRPr="00733DA3">
              <w:rPr>
                <w:color w:val="17365D" w:themeColor="text2" w:themeShade="BF"/>
              </w:rPr>
              <w:t>d further on these initiatives.</w:t>
            </w:r>
          </w:p>
        </w:tc>
      </w:tr>
    </w:tbl>
    <w:p w14:paraId="2C979196" w14:textId="77777777" w:rsidR="00616BC9" w:rsidRDefault="00616BC9" w:rsidP="00513272">
      <w:pPr>
        <w:jc w:val="right"/>
      </w:pPr>
    </w:p>
    <w:p w14:paraId="2C979197"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C97919A" w14:textId="77777777" w:rsidTr="004F5BA0">
        <w:tc>
          <w:tcPr>
            <w:tcW w:w="9026" w:type="dxa"/>
            <w:tcBorders>
              <w:top w:val="nil"/>
              <w:left w:val="nil"/>
              <w:right w:val="nil"/>
            </w:tcBorders>
          </w:tcPr>
          <w:p w14:paraId="2C979198" w14:textId="77777777" w:rsidR="00C22506" w:rsidRDefault="00616BC9" w:rsidP="00C22506">
            <w:pPr>
              <w:pStyle w:val="Heading2"/>
              <w:outlineLvl w:val="1"/>
            </w:pPr>
            <w:r>
              <w:lastRenderedPageBreak/>
              <w:t xml:space="preserve">Question 3: </w:t>
            </w:r>
            <w:r w:rsidRPr="00616BC9">
              <w:t>Pool investments between the 11 funds</w:t>
            </w:r>
          </w:p>
          <w:p w14:paraId="2C979199" w14:textId="77777777" w:rsidR="00616BC9" w:rsidRDefault="00616BC9" w:rsidP="00C22506">
            <w:r>
              <w:t>The text can wrap onto additional pages</w:t>
            </w:r>
            <w:r w:rsidR="00CB2A52">
              <w:t>.</w:t>
            </w:r>
          </w:p>
        </w:tc>
      </w:tr>
      <w:tr w:rsidR="00616BC9" w14:paraId="2C9791CD" w14:textId="77777777" w:rsidTr="004F5BA0">
        <w:tc>
          <w:tcPr>
            <w:tcW w:w="9026" w:type="dxa"/>
          </w:tcPr>
          <w:p w14:paraId="2C97919B" w14:textId="77777777" w:rsidR="00616BC9" w:rsidRDefault="00616BC9" w:rsidP="00F15DA6">
            <w:pPr>
              <w:pStyle w:val="ListNumber"/>
              <w:numPr>
                <w:ilvl w:val="0"/>
                <w:numId w:val="34"/>
              </w:numPr>
            </w:pPr>
            <w:r w:rsidRPr="00E57D63">
              <w:t xml:space="preserve">Cost of investing: </w:t>
            </w:r>
          </w:p>
          <w:p w14:paraId="2C97919C" w14:textId="77777777" w:rsidR="00616BC9" w:rsidRDefault="00616BC9" w:rsidP="00C22506">
            <w:pPr>
              <w:pStyle w:val="Question"/>
            </w:pPr>
            <w:r w:rsidRPr="00C22506">
              <w:t xml:space="preserve">What impact do you think pooling investments between funds would have on the cost of investing? </w:t>
            </w:r>
          </w:p>
          <w:p w14:paraId="2C97919D" w14:textId="77777777" w:rsidR="00D34F93" w:rsidRDefault="00012566" w:rsidP="00AA6F99">
            <w:pPr>
              <w:rPr>
                <w:color w:val="17365D" w:themeColor="text2" w:themeShade="BF"/>
                <w:lang w:val="en-US"/>
              </w:rPr>
            </w:pPr>
            <w:r>
              <w:rPr>
                <w:color w:val="17365D" w:themeColor="text2" w:themeShade="BF"/>
                <w:lang w:val="en-US"/>
              </w:rPr>
              <w:t xml:space="preserve">At £21 billion, SPF already enjoys significant benefits of scale. It is unlikely that this would improve significantly through adding further scale. SPF typically pays the lowest fee tier available to investors or a lower negotiated rate. </w:t>
            </w:r>
          </w:p>
          <w:p w14:paraId="2C97919E" w14:textId="77777777" w:rsidR="00616BC9" w:rsidRDefault="00616BC9" w:rsidP="00C22506">
            <w:pPr>
              <w:pStyle w:val="Question"/>
            </w:pPr>
            <w:r w:rsidRPr="00C22506">
              <w:t xml:space="preserve">What would be the positive impacts? </w:t>
            </w:r>
          </w:p>
          <w:p w14:paraId="2C97919F" w14:textId="77777777" w:rsidR="00663999" w:rsidRDefault="00663999" w:rsidP="00663999">
            <w:pPr>
              <w:rPr>
                <w:color w:val="17365D" w:themeColor="text2" w:themeShade="BF"/>
                <w:lang w:val="en-US"/>
              </w:rPr>
            </w:pPr>
            <w:r>
              <w:rPr>
                <w:color w:val="17365D" w:themeColor="text2" w:themeShade="BF"/>
                <w:lang w:val="en-US"/>
              </w:rPr>
              <w:t xml:space="preserve">It is unlikely that SPF would see any significant positive </w:t>
            </w:r>
            <w:r w:rsidR="00012566">
              <w:rPr>
                <w:color w:val="17365D" w:themeColor="text2" w:themeShade="BF"/>
                <w:lang w:val="en-US"/>
              </w:rPr>
              <w:t xml:space="preserve">cost </w:t>
            </w:r>
            <w:r>
              <w:rPr>
                <w:color w:val="17365D" w:themeColor="text2" w:themeShade="BF"/>
                <w:lang w:val="en-US"/>
              </w:rPr>
              <w:t>impacts from pooling investments.</w:t>
            </w:r>
          </w:p>
          <w:p w14:paraId="2C9791A0" w14:textId="77777777" w:rsidR="00616BC9" w:rsidRDefault="00616BC9" w:rsidP="00C22506">
            <w:pPr>
              <w:pStyle w:val="Question"/>
            </w:pPr>
            <w:r w:rsidRPr="00C22506">
              <w:t>What would be the negative impacts?</w:t>
            </w:r>
          </w:p>
          <w:p w14:paraId="2C9791A1" w14:textId="77777777" w:rsidR="00D151BB" w:rsidRDefault="00D151BB" w:rsidP="00663999">
            <w:pPr>
              <w:rPr>
                <w:color w:val="17365D" w:themeColor="text2" w:themeShade="BF"/>
                <w:lang w:val="en-US"/>
              </w:rPr>
            </w:pPr>
            <w:r w:rsidRPr="00D151BB">
              <w:rPr>
                <w:color w:val="17365D" w:themeColor="text2" w:themeShade="BF"/>
                <w:lang w:val="en-US"/>
              </w:rPr>
              <w:t xml:space="preserve">Reducing cost is only a positive impact if it improves net returns. Cost reduction </w:t>
            </w:r>
            <w:r w:rsidR="00733DA3">
              <w:rPr>
                <w:color w:val="17365D" w:themeColor="text2" w:themeShade="BF"/>
                <w:lang w:val="en-US"/>
              </w:rPr>
              <w:t xml:space="preserve">through pooling </w:t>
            </w:r>
            <w:r w:rsidRPr="00D151BB">
              <w:rPr>
                <w:color w:val="17365D" w:themeColor="text2" w:themeShade="BF"/>
                <w:lang w:val="en-US"/>
              </w:rPr>
              <w:t>would be a negative if it led to a restricted choice of investment options, and reduced returns or increased risk.</w:t>
            </w:r>
          </w:p>
          <w:p w14:paraId="2C9791A2" w14:textId="77777777" w:rsidR="00D151BB" w:rsidRPr="00D151BB" w:rsidRDefault="00D151BB" w:rsidP="00D151BB">
            <w:pPr>
              <w:rPr>
                <w:color w:val="17365D" w:themeColor="text2" w:themeShade="BF"/>
                <w:lang w:val="en-US"/>
              </w:rPr>
            </w:pPr>
            <w:r w:rsidRPr="00D151BB">
              <w:rPr>
                <w:color w:val="17365D" w:themeColor="text2" w:themeShade="BF"/>
                <w:lang w:val="en-US"/>
              </w:rPr>
              <w:t>Some very attractive investment opportunities, particularly in private markets, have limited availability. A larger pool may be unable to achieve its desired allocation and is unlikely to achieve cost savings as managers have no need to offer cost incentives where demand outstrips supply.</w:t>
            </w:r>
          </w:p>
          <w:p w14:paraId="2C9791A3" w14:textId="77777777" w:rsidR="00616BC9" w:rsidRDefault="00616BC9" w:rsidP="00C22506">
            <w:pPr>
              <w:pStyle w:val="Question"/>
            </w:pPr>
            <w:r w:rsidRPr="00C22506">
              <w:t>If asset pooling were possible, under what circumstances should a fund consider joining an asset pool?</w:t>
            </w:r>
          </w:p>
          <w:p w14:paraId="2C9791A4" w14:textId="77777777" w:rsidR="00D151BB" w:rsidRPr="00D151BB" w:rsidRDefault="00D151BB" w:rsidP="00D151BB">
            <w:pPr>
              <w:rPr>
                <w:color w:val="17365D" w:themeColor="text2" w:themeShade="BF"/>
                <w:lang w:val="en-US"/>
              </w:rPr>
            </w:pPr>
            <w:r>
              <w:rPr>
                <w:color w:val="17365D" w:themeColor="text2" w:themeShade="BF"/>
                <w:lang w:val="en-US"/>
              </w:rPr>
              <w:t>A fund should carry out its own cost benefit analysis of the merits of joining a</w:t>
            </w:r>
            <w:r w:rsidR="00EB0337">
              <w:rPr>
                <w:color w:val="17365D" w:themeColor="text2" w:themeShade="BF"/>
                <w:lang w:val="en-US"/>
              </w:rPr>
              <w:t>n asset</w:t>
            </w:r>
            <w:r>
              <w:rPr>
                <w:color w:val="17365D" w:themeColor="text2" w:themeShade="BF"/>
                <w:lang w:val="en-US"/>
              </w:rPr>
              <w:t xml:space="preserve"> pool</w:t>
            </w:r>
            <w:r w:rsidR="00EB0337">
              <w:rPr>
                <w:color w:val="17365D" w:themeColor="text2" w:themeShade="BF"/>
                <w:lang w:val="en-US"/>
              </w:rPr>
              <w:t xml:space="preserve">. Until a pool is established this is difficult as neither the costs nor the benefits are clear or certain.  </w:t>
            </w:r>
          </w:p>
          <w:p w14:paraId="2C9791A5" w14:textId="77777777" w:rsidR="00616BC9" w:rsidRDefault="00616BC9" w:rsidP="00C22506">
            <w:pPr>
              <w:pStyle w:val="Question"/>
            </w:pPr>
            <w:r w:rsidRPr="00C22506">
              <w:t>Under which circumstances should the SLGPS consider directing funds to pool?</w:t>
            </w:r>
          </w:p>
          <w:p w14:paraId="2C9791A6" w14:textId="77777777" w:rsidR="00046B3B" w:rsidRDefault="00EB0337" w:rsidP="00EB0337">
            <w:pPr>
              <w:rPr>
                <w:color w:val="17365D" w:themeColor="text2" w:themeShade="BF"/>
                <w:lang w:val="en-US"/>
              </w:rPr>
            </w:pPr>
            <w:r>
              <w:rPr>
                <w:color w:val="17365D" w:themeColor="text2" w:themeShade="BF"/>
                <w:lang w:val="en-US"/>
              </w:rPr>
              <w:t>Manifest failure by a fund</w:t>
            </w:r>
            <w:r w:rsidR="00733DA3">
              <w:rPr>
                <w:color w:val="17365D" w:themeColor="text2" w:themeShade="BF"/>
                <w:lang w:val="en-US"/>
              </w:rPr>
              <w:t>,</w:t>
            </w:r>
            <w:r>
              <w:rPr>
                <w:color w:val="17365D" w:themeColor="text2" w:themeShade="BF"/>
                <w:lang w:val="en-US"/>
              </w:rPr>
              <w:t xml:space="preserve"> or the Scottish LGPS funds collectively</w:t>
            </w:r>
            <w:r w:rsidR="00733DA3">
              <w:rPr>
                <w:color w:val="17365D" w:themeColor="text2" w:themeShade="BF"/>
                <w:lang w:val="en-US"/>
              </w:rPr>
              <w:t>,</w:t>
            </w:r>
            <w:r>
              <w:rPr>
                <w:color w:val="17365D" w:themeColor="text2" w:themeShade="BF"/>
                <w:lang w:val="en-US"/>
              </w:rPr>
              <w:t xml:space="preserve"> to achieve their objectives might present a basis for directing funds to pool. </w:t>
            </w:r>
          </w:p>
          <w:p w14:paraId="2C9791A7" w14:textId="77777777" w:rsidR="00616BC9" w:rsidRDefault="00616BC9" w:rsidP="00F15DA6">
            <w:pPr>
              <w:pStyle w:val="ListNumber"/>
            </w:pPr>
            <w:r w:rsidRPr="004F5BA0">
              <w:t>Governance:</w:t>
            </w:r>
            <w:r>
              <w:t xml:space="preserve"> </w:t>
            </w:r>
          </w:p>
          <w:p w14:paraId="2C9791A8" w14:textId="77777777" w:rsidR="00616BC9" w:rsidRDefault="00616BC9" w:rsidP="00C22506">
            <w:pPr>
              <w:pStyle w:val="Question"/>
            </w:pPr>
            <w:r w:rsidRPr="00C22506">
              <w:t xml:space="preserve">What impact do you think pooling investments between funds would have on governance? </w:t>
            </w:r>
          </w:p>
          <w:p w14:paraId="2C9791A9" w14:textId="77777777" w:rsidR="00EB0337" w:rsidRDefault="00046B3B" w:rsidP="00EB0337">
            <w:pPr>
              <w:rPr>
                <w:color w:val="17365D" w:themeColor="text2" w:themeShade="BF"/>
                <w:lang w:val="en-US"/>
              </w:rPr>
            </w:pPr>
            <w:r>
              <w:rPr>
                <w:color w:val="17365D" w:themeColor="text2" w:themeShade="BF"/>
                <w:lang w:val="en-US"/>
              </w:rPr>
              <w:t>Where pools oversee external investment managers, this represents an additional layer of governance between the fund and the manager. It i</w:t>
            </w:r>
            <w:r w:rsidR="00F3009F">
              <w:rPr>
                <w:color w:val="17365D" w:themeColor="text2" w:themeShade="BF"/>
                <w:lang w:val="en-US"/>
              </w:rPr>
              <w:t>s likely to reduce transparency and complicate governance.</w:t>
            </w:r>
          </w:p>
          <w:p w14:paraId="2C9791AA" w14:textId="77777777" w:rsidR="00046B3B" w:rsidRPr="00EB0337" w:rsidRDefault="00046B3B" w:rsidP="00EB0337">
            <w:pPr>
              <w:rPr>
                <w:color w:val="17365D" w:themeColor="text2" w:themeShade="BF"/>
                <w:lang w:val="en-US"/>
              </w:rPr>
            </w:pPr>
            <w:r>
              <w:rPr>
                <w:color w:val="17365D" w:themeColor="text2" w:themeShade="BF"/>
                <w:lang w:val="en-US"/>
              </w:rPr>
              <w:t>Where pools manage investments internally</w:t>
            </w:r>
            <w:r w:rsidR="007A4112">
              <w:rPr>
                <w:color w:val="17365D" w:themeColor="text2" w:themeShade="BF"/>
                <w:lang w:val="en-US"/>
              </w:rPr>
              <w:t>, the funds may become captive – i.e. it would be difficult to replace the internal management team if they underperformed.</w:t>
            </w:r>
            <w:r>
              <w:rPr>
                <w:color w:val="17365D" w:themeColor="text2" w:themeShade="BF"/>
                <w:lang w:val="en-US"/>
              </w:rPr>
              <w:t xml:space="preserve"> </w:t>
            </w:r>
          </w:p>
          <w:p w14:paraId="2C9791AB" w14:textId="77777777" w:rsidR="00616BC9" w:rsidRDefault="00616BC9" w:rsidP="00C22506">
            <w:pPr>
              <w:pStyle w:val="Question"/>
            </w:pPr>
            <w:r w:rsidRPr="00C22506">
              <w:lastRenderedPageBreak/>
              <w:t xml:space="preserve">What would be the positive impacts? </w:t>
            </w:r>
          </w:p>
          <w:p w14:paraId="2C9791AC" w14:textId="77777777" w:rsidR="007A4112" w:rsidRPr="007A4112" w:rsidRDefault="005938F7" w:rsidP="007A4112">
            <w:pPr>
              <w:rPr>
                <w:color w:val="17365D" w:themeColor="text2" w:themeShade="BF"/>
                <w:lang w:val="en-US"/>
              </w:rPr>
            </w:pPr>
            <w:r w:rsidRPr="005938F7">
              <w:rPr>
                <w:color w:val="17365D" w:themeColor="text2" w:themeShade="BF"/>
                <w:lang w:val="en-US"/>
              </w:rPr>
              <w:t xml:space="preserve">It is unlikely that SPF would see any significant positive </w:t>
            </w:r>
            <w:r>
              <w:rPr>
                <w:color w:val="17365D" w:themeColor="text2" w:themeShade="BF"/>
                <w:lang w:val="en-US"/>
              </w:rPr>
              <w:t xml:space="preserve">governance </w:t>
            </w:r>
            <w:r w:rsidRPr="005938F7">
              <w:rPr>
                <w:color w:val="17365D" w:themeColor="text2" w:themeShade="BF"/>
                <w:lang w:val="en-US"/>
              </w:rPr>
              <w:t>impacts from pooling investments.</w:t>
            </w:r>
          </w:p>
          <w:p w14:paraId="2C9791AD" w14:textId="77777777" w:rsidR="00616BC9" w:rsidRDefault="00616BC9" w:rsidP="00C22506">
            <w:pPr>
              <w:pStyle w:val="Question"/>
            </w:pPr>
            <w:r w:rsidRPr="00C22506">
              <w:t>What would be the negative impacts?</w:t>
            </w:r>
          </w:p>
          <w:p w14:paraId="2C9791AE" w14:textId="77777777" w:rsidR="005938F7" w:rsidRPr="005938F7" w:rsidRDefault="005938F7" w:rsidP="005938F7">
            <w:pPr>
              <w:rPr>
                <w:color w:val="17365D" w:themeColor="text2" w:themeShade="BF"/>
                <w:lang w:val="en-US"/>
              </w:rPr>
            </w:pPr>
            <w:r w:rsidRPr="005938F7">
              <w:rPr>
                <w:color w:val="17365D" w:themeColor="text2" w:themeShade="BF"/>
                <w:lang w:val="en-US"/>
              </w:rPr>
              <w:t xml:space="preserve">Diverting resource to establish and maintain the pools is likely to be a significant distraction </w:t>
            </w:r>
            <w:r>
              <w:rPr>
                <w:color w:val="17365D" w:themeColor="text2" w:themeShade="BF"/>
                <w:lang w:val="en-US"/>
              </w:rPr>
              <w:t>from the ongoing business of managing the funds.</w:t>
            </w:r>
          </w:p>
          <w:p w14:paraId="2C9791AF" w14:textId="77777777" w:rsidR="00616BC9" w:rsidRDefault="00616BC9" w:rsidP="00F15DA6">
            <w:pPr>
              <w:pStyle w:val="ListNumber"/>
            </w:pPr>
            <w:r>
              <w:t>Operating risks:</w:t>
            </w:r>
          </w:p>
          <w:p w14:paraId="2C9791B0" w14:textId="77777777" w:rsidR="00616BC9" w:rsidRDefault="00616BC9" w:rsidP="00C22506">
            <w:pPr>
              <w:pStyle w:val="Question"/>
            </w:pPr>
            <w:r w:rsidRPr="00C22506">
              <w:t xml:space="preserve">What impact do you think pooling investments between funds would have on operating risks? </w:t>
            </w:r>
          </w:p>
          <w:p w14:paraId="2C9791B1" w14:textId="77777777" w:rsidR="005938F7" w:rsidRPr="005938F7" w:rsidRDefault="005938F7" w:rsidP="005938F7">
            <w:pPr>
              <w:rPr>
                <w:color w:val="17365D" w:themeColor="text2" w:themeShade="BF"/>
                <w:lang w:val="en-US"/>
              </w:rPr>
            </w:pPr>
            <w:r w:rsidRPr="005938F7">
              <w:rPr>
                <w:color w:val="17365D" w:themeColor="text2" w:themeShade="BF"/>
                <w:lang w:val="en-US"/>
              </w:rPr>
              <w:t>Where pools oversee external investment managers,</w:t>
            </w:r>
            <w:r>
              <w:rPr>
                <w:color w:val="17365D" w:themeColor="text2" w:themeShade="BF"/>
                <w:lang w:val="en-US"/>
              </w:rPr>
              <w:t xml:space="preserve"> pooling is unlikely to have any impact on operating risks</w:t>
            </w:r>
            <w:r w:rsidR="00796014">
              <w:rPr>
                <w:color w:val="17365D" w:themeColor="text2" w:themeShade="BF"/>
                <w:lang w:val="en-US"/>
              </w:rPr>
              <w:t xml:space="preserve">, as day-to day investing is carried out by the managers. </w:t>
            </w:r>
            <w:r>
              <w:rPr>
                <w:color w:val="17365D" w:themeColor="text2" w:themeShade="BF"/>
                <w:lang w:val="en-US"/>
              </w:rPr>
              <w:t xml:space="preserve"> </w:t>
            </w:r>
          </w:p>
          <w:p w14:paraId="2C9791B2" w14:textId="77777777" w:rsidR="005938F7" w:rsidRPr="005938F7" w:rsidRDefault="005938F7" w:rsidP="005938F7">
            <w:pPr>
              <w:rPr>
                <w:color w:val="17365D" w:themeColor="text2" w:themeShade="BF"/>
                <w:lang w:val="en-US"/>
              </w:rPr>
            </w:pPr>
            <w:r w:rsidRPr="005938F7">
              <w:rPr>
                <w:color w:val="17365D" w:themeColor="text2" w:themeShade="BF"/>
                <w:lang w:val="en-US"/>
              </w:rPr>
              <w:t>Where pools manage investments internally,</w:t>
            </w:r>
            <w:r w:rsidR="00796014">
              <w:rPr>
                <w:color w:val="17365D" w:themeColor="text2" w:themeShade="BF"/>
                <w:lang w:val="en-US"/>
              </w:rPr>
              <w:t xml:space="preserve"> they would need to develop risk-management capabilities on a par with external managers who typically have extensive compliance and risk-management resources</w:t>
            </w:r>
            <w:r w:rsidRPr="005938F7">
              <w:rPr>
                <w:color w:val="17365D" w:themeColor="text2" w:themeShade="BF"/>
                <w:lang w:val="en-US"/>
              </w:rPr>
              <w:t>.</w:t>
            </w:r>
          </w:p>
          <w:p w14:paraId="2C9791B3" w14:textId="77777777" w:rsidR="00616BC9" w:rsidRDefault="00616BC9" w:rsidP="00C22506">
            <w:pPr>
              <w:pStyle w:val="Question"/>
            </w:pPr>
            <w:r w:rsidRPr="00C22506">
              <w:t xml:space="preserve">What would be the positive impacts? </w:t>
            </w:r>
          </w:p>
          <w:p w14:paraId="2C9791B4" w14:textId="77777777" w:rsidR="00796014" w:rsidRPr="00796014" w:rsidRDefault="00796014" w:rsidP="00796014">
            <w:pPr>
              <w:rPr>
                <w:color w:val="17365D" w:themeColor="text2" w:themeShade="BF"/>
                <w:lang w:val="en-US"/>
              </w:rPr>
            </w:pPr>
            <w:r w:rsidRPr="00796014">
              <w:rPr>
                <w:color w:val="17365D" w:themeColor="text2" w:themeShade="BF"/>
                <w:lang w:val="en-US"/>
              </w:rPr>
              <w:t xml:space="preserve">It is unlikely that SPF would see any significant positive impacts </w:t>
            </w:r>
            <w:r w:rsidR="00EB1E01">
              <w:rPr>
                <w:color w:val="17365D" w:themeColor="text2" w:themeShade="BF"/>
                <w:lang w:val="en-US"/>
              </w:rPr>
              <w:t xml:space="preserve">on operating risk </w:t>
            </w:r>
            <w:r w:rsidRPr="00796014">
              <w:rPr>
                <w:color w:val="17365D" w:themeColor="text2" w:themeShade="BF"/>
                <w:lang w:val="en-US"/>
              </w:rPr>
              <w:t>from pooling investments.</w:t>
            </w:r>
            <w:r>
              <w:rPr>
                <w:color w:val="17365D" w:themeColor="text2" w:themeShade="BF"/>
                <w:lang w:val="en-US"/>
              </w:rPr>
              <w:t xml:space="preserve"> </w:t>
            </w:r>
          </w:p>
          <w:p w14:paraId="2C9791B5" w14:textId="77777777" w:rsidR="00616BC9" w:rsidRDefault="00616BC9" w:rsidP="00C22506">
            <w:pPr>
              <w:pStyle w:val="Question"/>
            </w:pPr>
            <w:r w:rsidRPr="00C22506">
              <w:t>What would be the negative impacts?</w:t>
            </w:r>
          </w:p>
          <w:p w14:paraId="2C9791B6" w14:textId="77777777" w:rsidR="00796014" w:rsidRDefault="00796014" w:rsidP="00796014">
            <w:pPr>
              <w:rPr>
                <w:color w:val="17365D" w:themeColor="text2" w:themeShade="BF"/>
                <w:lang w:val="en-US"/>
              </w:rPr>
            </w:pPr>
            <w:r w:rsidRPr="00796014">
              <w:rPr>
                <w:color w:val="17365D" w:themeColor="text2" w:themeShade="BF"/>
                <w:lang w:val="en-US"/>
              </w:rPr>
              <w:t xml:space="preserve">Diverting resource to establish and maintain the pools is likely to </w:t>
            </w:r>
            <w:r w:rsidR="00F3009F">
              <w:rPr>
                <w:color w:val="17365D" w:themeColor="text2" w:themeShade="BF"/>
                <w:lang w:val="en-US"/>
              </w:rPr>
              <w:t xml:space="preserve">increase </w:t>
            </w:r>
            <w:r>
              <w:rPr>
                <w:color w:val="17365D" w:themeColor="text2" w:themeShade="BF"/>
                <w:lang w:val="en-US"/>
              </w:rPr>
              <w:t>operational risks</w:t>
            </w:r>
            <w:r w:rsidRPr="00796014">
              <w:rPr>
                <w:color w:val="17365D" w:themeColor="text2" w:themeShade="BF"/>
                <w:lang w:val="en-US"/>
              </w:rPr>
              <w:t>.</w:t>
            </w:r>
          </w:p>
          <w:p w14:paraId="2C9791B7" w14:textId="77777777" w:rsidR="00012566" w:rsidRDefault="00012566" w:rsidP="00012566">
            <w:pPr>
              <w:rPr>
                <w:color w:val="17365D" w:themeColor="text2" w:themeShade="BF"/>
                <w:lang w:val="en-US"/>
              </w:rPr>
            </w:pPr>
            <w:r w:rsidRPr="00663999">
              <w:rPr>
                <w:color w:val="17365D" w:themeColor="text2" w:themeShade="BF"/>
                <w:lang w:val="en-US"/>
              </w:rPr>
              <w:t xml:space="preserve">Pooling investments </w:t>
            </w:r>
            <w:r>
              <w:rPr>
                <w:color w:val="17365D" w:themeColor="text2" w:themeShade="BF"/>
                <w:lang w:val="en-US"/>
              </w:rPr>
              <w:t xml:space="preserve">is likely to involve </w:t>
            </w:r>
            <w:r w:rsidR="00F3009F">
              <w:rPr>
                <w:color w:val="17365D" w:themeColor="text2" w:themeShade="BF"/>
                <w:lang w:val="en-US"/>
              </w:rPr>
              <w:t xml:space="preserve">some </w:t>
            </w:r>
            <w:r>
              <w:rPr>
                <w:color w:val="17365D" w:themeColor="text2" w:themeShade="BF"/>
                <w:lang w:val="en-US"/>
              </w:rPr>
              <w:t>concentration of risk.</w:t>
            </w:r>
          </w:p>
          <w:p w14:paraId="2C9791B8" w14:textId="77777777" w:rsidR="00616BC9" w:rsidRPr="002541D9" w:rsidRDefault="00616BC9" w:rsidP="00F15DA6">
            <w:pPr>
              <w:pStyle w:val="ListNumber"/>
              <w:rPr>
                <w:u w:val="single"/>
              </w:rPr>
            </w:pPr>
            <w:r>
              <w:t xml:space="preserve">Infrastructure: </w:t>
            </w:r>
          </w:p>
          <w:p w14:paraId="2C9791B9" w14:textId="77777777" w:rsidR="00616BC9" w:rsidRDefault="00616BC9" w:rsidP="00C22506">
            <w:pPr>
              <w:pStyle w:val="Question"/>
              <w:rPr>
                <w:color w:val="17365D" w:themeColor="text2" w:themeShade="BF"/>
              </w:rPr>
            </w:pPr>
            <w:r w:rsidRPr="00C22506">
              <w:t xml:space="preserve">What impact do you think pooling investments between funds would have on funds’ ability to invest in infrastructure? </w:t>
            </w:r>
          </w:p>
          <w:p w14:paraId="2C9791BA" w14:textId="77777777" w:rsidR="00C31E54" w:rsidRDefault="00EA1A77" w:rsidP="00C31E54">
            <w:pPr>
              <w:rPr>
                <w:color w:val="17365D" w:themeColor="text2" w:themeShade="BF"/>
                <w:lang w:val="en-US"/>
              </w:rPr>
            </w:pPr>
            <w:r>
              <w:rPr>
                <w:color w:val="17365D" w:themeColor="text2" w:themeShade="BF"/>
                <w:lang w:val="en-US"/>
              </w:rPr>
              <w:t>Very little, if any.</w:t>
            </w:r>
          </w:p>
          <w:p w14:paraId="2C9791BB" w14:textId="77777777" w:rsidR="00EA1A77" w:rsidRDefault="00EA1A77" w:rsidP="00C31E54">
            <w:pPr>
              <w:rPr>
                <w:color w:val="17365D" w:themeColor="text2" w:themeShade="BF"/>
                <w:lang w:val="en-US"/>
              </w:rPr>
            </w:pPr>
            <w:r>
              <w:rPr>
                <w:color w:val="17365D" w:themeColor="text2" w:themeShade="BF"/>
                <w:lang w:val="en-US"/>
              </w:rPr>
              <w:t xml:space="preserve">Of the large Scottish Funds: SPF has made investments of over £1 billion to date in infrastructure and will continue to make new investments; Lothian has an established infrastructure programme. </w:t>
            </w:r>
          </w:p>
          <w:p w14:paraId="2C9791BC" w14:textId="77777777" w:rsidR="00EA1A77" w:rsidRDefault="00EA1A77" w:rsidP="00C31E54">
            <w:pPr>
              <w:rPr>
                <w:color w:val="17365D" w:themeColor="text2" w:themeShade="BF"/>
                <w:lang w:val="en-US"/>
              </w:rPr>
            </w:pPr>
            <w:r>
              <w:rPr>
                <w:color w:val="17365D" w:themeColor="text2" w:themeShade="BF"/>
                <w:lang w:val="en-US"/>
              </w:rPr>
              <w:t>Amongst the medium-sized funds: per the Scheme Advisory Board Annual Report for 2016/2017, Fife and Falkirk are shown as having infrastructure investments.</w:t>
            </w:r>
          </w:p>
          <w:p w14:paraId="2C9791BD" w14:textId="77777777" w:rsidR="00F3009F" w:rsidRDefault="00F3009F" w:rsidP="00C31E54">
            <w:pPr>
              <w:rPr>
                <w:color w:val="17365D" w:themeColor="text2" w:themeShade="BF"/>
                <w:lang w:val="en-US"/>
              </w:rPr>
            </w:pPr>
            <w:r>
              <w:rPr>
                <w:color w:val="17365D" w:themeColor="text2" w:themeShade="BF"/>
                <w:lang w:val="en-US"/>
              </w:rPr>
              <w:t xml:space="preserve">So, large and medium sized funds are already able to invest in infrastructure. </w:t>
            </w:r>
          </w:p>
          <w:p w14:paraId="2C9791BE" w14:textId="77777777" w:rsidR="00EA1A77" w:rsidRDefault="00904DA3" w:rsidP="00C31E54">
            <w:pPr>
              <w:rPr>
                <w:color w:val="17365D" w:themeColor="text2" w:themeShade="BF"/>
                <w:lang w:val="en-US"/>
              </w:rPr>
            </w:pPr>
            <w:r>
              <w:rPr>
                <w:color w:val="17365D" w:themeColor="text2" w:themeShade="BF"/>
                <w:lang w:val="en-US"/>
              </w:rPr>
              <w:t>T</w:t>
            </w:r>
            <w:r w:rsidR="00EA1A77">
              <w:rPr>
                <w:color w:val="17365D" w:themeColor="text2" w:themeShade="BF"/>
                <w:lang w:val="en-US"/>
              </w:rPr>
              <w:t>he smaller funds (</w:t>
            </w:r>
            <w:r>
              <w:rPr>
                <w:color w:val="17365D" w:themeColor="text2" w:themeShade="BF"/>
                <w:lang w:val="en-US"/>
              </w:rPr>
              <w:t>&lt;£1 billion)</w:t>
            </w:r>
            <w:r w:rsidR="00EA1A77">
              <w:rPr>
                <w:color w:val="17365D" w:themeColor="text2" w:themeShade="BF"/>
                <w:lang w:val="en-US"/>
              </w:rPr>
              <w:t xml:space="preserve"> </w:t>
            </w:r>
            <w:r>
              <w:rPr>
                <w:color w:val="17365D" w:themeColor="text2" w:themeShade="BF"/>
                <w:lang w:val="en-US"/>
              </w:rPr>
              <w:t xml:space="preserve">do not appear to have made any infrastructure investments. It may be that they lack the resource to do so, </w:t>
            </w:r>
            <w:r w:rsidR="00C60977">
              <w:rPr>
                <w:color w:val="17365D" w:themeColor="text2" w:themeShade="BF"/>
                <w:lang w:val="en-US"/>
              </w:rPr>
              <w:t>though with consultant support it is not clear why this would be the case. P</w:t>
            </w:r>
            <w:r>
              <w:rPr>
                <w:color w:val="17365D" w:themeColor="text2" w:themeShade="BF"/>
                <w:lang w:val="en-US"/>
              </w:rPr>
              <w:t xml:space="preserve">ooling investments </w:t>
            </w:r>
            <w:r w:rsidR="00C60977">
              <w:rPr>
                <w:color w:val="17365D" w:themeColor="text2" w:themeShade="BF"/>
                <w:lang w:val="en-US"/>
              </w:rPr>
              <w:t>might</w:t>
            </w:r>
            <w:r>
              <w:rPr>
                <w:color w:val="17365D" w:themeColor="text2" w:themeShade="BF"/>
                <w:lang w:val="en-US"/>
              </w:rPr>
              <w:t xml:space="preserve"> facilitate </w:t>
            </w:r>
            <w:r>
              <w:rPr>
                <w:color w:val="17365D" w:themeColor="text2" w:themeShade="BF"/>
                <w:lang w:val="en-US"/>
              </w:rPr>
              <w:lastRenderedPageBreak/>
              <w:t>infrastructure investment by the</w:t>
            </w:r>
            <w:r w:rsidR="00C60977">
              <w:rPr>
                <w:color w:val="17365D" w:themeColor="text2" w:themeShade="BF"/>
                <w:lang w:val="en-US"/>
              </w:rPr>
              <w:t>se funds, b</w:t>
            </w:r>
            <w:r>
              <w:rPr>
                <w:color w:val="17365D" w:themeColor="text2" w:themeShade="BF"/>
                <w:lang w:val="en-US"/>
              </w:rPr>
              <w:t xml:space="preserve">ut their total assets are £2.3 billion of the £43 billion total scheme assets, so this would not materially change the total investment in infrastructure.  </w:t>
            </w:r>
            <w:r w:rsidR="00EA1A77">
              <w:rPr>
                <w:color w:val="17365D" w:themeColor="text2" w:themeShade="BF"/>
                <w:lang w:val="en-US"/>
              </w:rPr>
              <w:t xml:space="preserve">   </w:t>
            </w:r>
          </w:p>
          <w:p w14:paraId="2C9791BF" w14:textId="77777777" w:rsidR="00616BC9" w:rsidRDefault="00616BC9" w:rsidP="00C22506">
            <w:pPr>
              <w:pStyle w:val="Question"/>
            </w:pPr>
            <w:r w:rsidRPr="00C22506">
              <w:t xml:space="preserve">What would be the positive impacts? </w:t>
            </w:r>
          </w:p>
          <w:p w14:paraId="2C9791C0" w14:textId="77777777" w:rsidR="00F3009F" w:rsidRDefault="00F3009F" w:rsidP="00904DA3">
            <w:pPr>
              <w:rPr>
                <w:color w:val="17365D" w:themeColor="text2" w:themeShade="BF"/>
                <w:lang w:val="en-US"/>
              </w:rPr>
            </w:pPr>
            <w:r w:rsidRPr="00F3009F">
              <w:rPr>
                <w:color w:val="17365D" w:themeColor="text2" w:themeShade="BF"/>
                <w:lang w:val="en-US"/>
              </w:rPr>
              <w:t>Infrastructure investment typically does operate on a pooled basis – with investors pooling resources, usually through a limited partnership structure to increase their buying power and share risk. This is the model for all of SPF’s existing infrastructure investments, including the Pensions Infrastructure Platform (PIP), which was created by a group pf UK pension funds, including SPF, to invest in UK infrastructure.</w:t>
            </w:r>
          </w:p>
          <w:p w14:paraId="2C9791C1" w14:textId="77777777" w:rsidR="00904DA3" w:rsidRDefault="00EB1E01" w:rsidP="00904DA3">
            <w:pPr>
              <w:rPr>
                <w:color w:val="17365D" w:themeColor="text2" w:themeShade="BF"/>
                <w:lang w:val="en-US"/>
              </w:rPr>
            </w:pPr>
            <w:r>
              <w:rPr>
                <w:color w:val="17365D" w:themeColor="text2" w:themeShade="BF"/>
                <w:lang w:val="en-US"/>
              </w:rPr>
              <w:t xml:space="preserve">A combined initiative by the Scottish funds to invest in infrastructure </w:t>
            </w:r>
            <w:r w:rsidR="008E4177">
              <w:rPr>
                <w:color w:val="17365D" w:themeColor="text2" w:themeShade="BF"/>
                <w:lang w:val="en-US"/>
              </w:rPr>
              <w:t xml:space="preserve">could have some merit. </w:t>
            </w:r>
          </w:p>
          <w:p w14:paraId="2C9791C2" w14:textId="77777777" w:rsidR="008E4177" w:rsidRDefault="008E4177" w:rsidP="008E4177">
            <w:pPr>
              <w:rPr>
                <w:color w:val="17365D" w:themeColor="text2" w:themeShade="BF"/>
              </w:rPr>
            </w:pPr>
            <w:r>
              <w:rPr>
                <w:color w:val="17365D" w:themeColor="text2" w:themeShade="BF"/>
              </w:rPr>
              <w:t xml:space="preserve">The recent report by the Scottish Futures Trust (SFT) on </w:t>
            </w:r>
            <w:r w:rsidRPr="008E4177">
              <w:rPr>
                <w:i/>
                <w:color w:val="17365D" w:themeColor="text2" w:themeShade="BF"/>
              </w:rPr>
              <w:t>Scottish Real Asset Investments and the Local Government Pension Scheme</w:t>
            </w:r>
            <w:r>
              <w:rPr>
                <w:color w:val="17365D" w:themeColor="text2" w:themeShade="BF"/>
              </w:rPr>
              <w:t xml:space="preserve"> identifies an area of i</w:t>
            </w:r>
            <w:r w:rsidRPr="008E4177">
              <w:rPr>
                <w:color w:val="17365D" w:themeColor="text2" w:themeShade="BF"/>
              </w:rPr>
              <w:t xml:space="preserve">nvestment that </w:t>
            </w:r>
            <w:r>
              <w:rPr>
                <w:color w:val="17365D" w:themeColor="text2" w:themeShade="BF"/>
              </w:rPr>
              <w:t>“</w:t>
            </w:r>
            <w:r w:rsidRPr="008E4177">
              <w:rPr>
                <w:color w:val="17365D" w:themeColor="text2" w:themeShade="BF"/>
              </w:rPr>
              <w:t>enables LGPS to meet their fiduciary duties with good risk adjusted</w:t>
            </w:r>
            <w:r>
              <w:rPr>
                <w:color w:val="17365D" w:themeColor="text2" w:themeShade="BF"/>
              </w:rPr>
              <w:t xml:space="preserve"> </w:t>
            </w:r>
            <w:r w:rsidRPr="008E4177">
              <w:rPr>
                <w:color w:val="17365D" w:themeColor="text2" w:themeShade="BF"/>
              </w:rPr>
              <w:t>returns that are not highly competed by other investors: as those investments are not</w:t>
            </w:r>
            <w:r>
              <w:rPr>
                <w:color w:val="17365D" w:themeColor="text2" w:themeShade="BF"/>
              </w:rPr>
              <w:t xml:space="preserve"> </w:t>
            </w:r>
            <w:r w:rsidRPr="008E4177">
              <w:rPr>
                <w:color w:val="17365D" w:themeColor="text2" w:themeShade="BF"/>
              </w:rPr>
              <w:t>highly competed for by other investors, investment in them will provide a level of</w:t>
            </w:r>
            <w:r>
              <w:rPr>
                <w:color w:val="17365D" w:themeColor="text2" w:themeShade="BF"/>
              </w:rPr>
              <w:t xml:space="preserve"> </w:t>
            </w:r>
            <w:r w:rsidRPr="008E4177">
              <w:rPr>
                <w:color w:val="17365D" w:themeColor="text2" w:themeShade="BF"/>
              </w:rPr>
              <w:t>additionality to the Scottish real asset stock, and where they relate to new developments,</w:t>
            </w:r>
            <w:r>
              <w:rPr>
                <w:color w:val="17365D" w:themeColor="text2" w:themeShade="BF"/>
              </w:rPr>
              <w:t xml:space="preserve"> </w:t>
            </w:r>
            <w:r w:rsidRPr="008E4177">
              <w:rPr>
                <w:color w:val="17365D" w:themeColor="text2" w:themeShade="BF"/>
              </w:rPr>
              <w:t>they will provide additional Scottish capital stock.</w:t>
            </w:r>
            <w:r>
              <w:rPr>
                <w:color w:val="17365D" w:themeColor="text2" w:themeShade="BF"/>
              </w:rPr>
              <w:t xml:space="preserve">” </w:t>
            </w:r>
          </w:p>
          <w:p w14:paraId="2C9791C3" w14:textId="77777777" w:rsidR="008E4177" w:rsidRDefault="008E4177" w:rsidP="008E4177">
            <w:pPr>
              <w:rPr>
                <w:color w:val="17365D" w:themeColor="text2" w:themeShade="BF"/>
              </w:rPr>
            </w:pPr>
            <w:r>
              <w:rPr>
                <w:color w:val="17365D" w:themeColor="text2" w:themeShade="BF"/>
              </w:rPr>
              <w:t>It should be stressed, though that:</w:t>
            </w:r>
          </w:p>
          <w:p w14:paraId="2C9791C4" w14:textId="77777777" w:rsidR="008E4177" w:rsidRPr="00E94AF9" w:rsidRDefault="00F3009F" w:rsidP="00E94AF9">
            <w:pPr>
              <w:pStyle w:val="ListParagraph"/>
              <w:numPr>
                <w:ilvl w:val="0"/>
                <w:numId w:val="27"/>
              </w:numPr>
              <w:rPr>
                <w:color w:val="17365D" w:themeColor="text2" w:themeShade="BF"/>
              </w:rPr>
            </w:pPr>
            <w:r>
              <w:rPr>
                <w:color w:val="17365D" w:themeColor="text2" w:themeShade="BF"/>
              </w:rPr>
              <w:t>t</w:t>
            </w:r>
            <w:r w:rsidR="008E4177" w:rsidRPr="00E94AF9">
              <w:rPr>
                <w:color w:val="17365D" w:themeColor="text2" w:themeShade="BF"/>
              </w:rPr>
              <w:t>he positive impacts identified by SFT are not related to the objectives of the LGPS and its funds; and</w:t>
            </w:r>
          </w:p>
          <w:p w14:paraId="2C9791C5" w14:textId="77777777" w:rsidR="00E94AF9" w:rsidRPr="00F3009F" w:rsidRDefault="00F3009F" w:rsidP="008E4177">
            <w:pPr>
              <w:pStyle w:val="ListParagraph"/>
              <w:numPr>
                <w:ilvl w:val="0"/>
                <w:numId w:val="27"/>
              </w:numPr>
              <w:rPr>
                <w:color w:val="17365D" w:themeColor="text2" w:themeShade="BF"/>
              </w:rPr>
            </w:pPr>
            <w:r w:rsidRPr="00F3009F">
              <w:rPr>
                <w:color w:val="17365D" w:themeColor="text2" w:themeShade="BF"/>
              </w:rPr>
              <w:t>i</w:t>
            </w:r>
            <w:r w:rsidR="008E4177" w:rsidRPr="00F3009F">
              <w:rPr>
                <w:color w:val="17365D" w:themeColor="text2" w:themeShade="BF"/>
              </w:rPr>
              <w:t xml:space="preserve">t would not be necessary to pool funds </w:t>
            </w:r>
            <w:r>
              <w:rPr>
                <w:color w:val="17365D" w:themeColor="text2" w:themeShade="BF"/>
              </w:rPr>
              <w:t xml:space="preserve">in their entirety </w:t>
            </w:r>
            <w:r w:rsidR="008E4177" w:rsidRPr="00F3009F">
              <w:rPr>
                <w:color w:val="17365D" w:themeColor="text2" w:themeShade="BF"/>
              </w:rPr>
              <w:t xml:space="preserve">to facilitate investment in infrastructure. The creation of a pooled investment vehicle in which funds </w:t>
            </w:r>
            <w:r w:rsidR="00DB7413" w:rsidRPr="00F3009F">
              <w:rPr>
                <w:color w:val="17365D" w:themeColor="text2" w:themeShade="BF"/>
              </w:rPr>
              <w:t>could invest would achieve this</w:t>
            </w:r>
            <w:r w:rsidR="008E4177" w:rsidRPr="00F3009F">
              <w:rPr>
                <w:color w:val="17365D" w:themeColor="text2" w:themeShade="BF"/>
              </w:rPr>
              <w:t xml:space="preserve"> if the vehicle was sufficiently attractive on a risk/retu</w:t>
            </w:r>
            <w:r w:rsidR="00DB7413" w:rsidRPr="00F3009F">
              <w:rPr>
                <w:color w:val="17365D" w:themeColor="text2" w:themeShade="BF"/>
              </w:rPr>
              <w:t>r</w:t>
            </w:r>
            <w:r w:rsidR="008E4177" w:rsidRPr="00F3009F">
              <w:rPr>
                <w:color w:val="17365D" w:themeColor="text2" w:themeShade="BF"/>
              </w:rPr>
              <w:t xml:space="preserve">n assessment. </w:t>
            </w:r>
          </w:p>
          <w:p w14:paraId="2C9791C6" w14:textId="77777777" w:rsidR="00616BC9" w:rsidRDefault="00616BC9" w:rsidP="00C22506">
            <w:pPr>
              <w:pStyle w:val="Question"/>
            </w:pPr>
            <w:r w:rsidRPr="00C22506">
              <w:t>What would be the negative impacts?</w:t>
            </w:r>
          </w:p>
          <w:p w14:paraId="2C9791C7" w14:textId="77777777" w:rsidR="003E6CBB" w:rsidRDefault="003E6CBB" w:rsidP="00DB7413">
            <w:pPr>
              <w:rPr>
                <w:color w:val="17365D" w:themeColor="text2" w:themeShade="BF"/>
                <w:lang w:val="en-US"/>
              </w:rPr>
            </w:pPr>
            <w:r>
              <w:rPr>
                <w:color w:val="17365D" w:themeColor="text2" w:themeShade="BF"/>
                <w:lang w:val="en-US"/>
              </w:rPr>
              <w:t>The consultation paper acknowledges that: “</w:t>
            </w:r>
            <w:r w:rsidRPr="003E6CBB">
              <w:rPr>
                <w:color w:val="17365D" w:themeColor="text2" w:themeShade="BF"/>
                <w:lang w:val="en-US"/>
              </w:rPr>
              <w:t>In the short-term, pooling would generate large initial transitional and set up costs, potentially including the requirement to seek FCA authorisation for the new asset pools.</w:t>
            </w:r>
            <w:r>
              <w:rPr>
                <w:color w:val="17365D" w:themeColor="text2" w:themeShade="BF"/>
                <w:lang w:val="en-US"/>
              </w:rPr>
              <w:t xml:space="preserve">” </w:t>
            </w:r>
          </w:p>
          <w:p w14:paraId="2C9791C8" w14:textId="77777777" w:rsidR="00DB7413" w:rsidRPr="00DB7413" w:rsidRDefault="003E6CBB" w:rsidP="00DB7413">
            <w:pPr>
              <w:rPr>
                <w:color w:val="17365D" w:themeColor="text2" w:themeShade="BF"/>
                <w:lang w:val="en-US"/>
              </w:rPr>
            </w:pPr>
            <w:r>
              <w:rPr>
                <w:color w:val="17365D" w:themeColor="text2" w:themeShade="BF"/>
                <w:lang w:val="en-US"/>
              </w:rPr>
              <w:t xml:space="preserve">Pooling the funds simply to achieve more investment in infrastructure, which is not a primary pension fund objective, would be </w:t>
            </w:r>
            <w:r w:rsidR="00F3009F">
              <w:rPr>
                <w:color w:val="17365D" w:themeColor="text2" w:themeShade="BF"/>
                <w:lang w:val="en-US"/>
              </w:rPr>
              <w:t xml:space="preserve">a </w:t>
            </w:r>
            <w:r>
              <w:rPr>
                <w:color w:val="17365D" w:themeColor="text2" w:themeShade="BF"/>
                <w:lang w:val="en-US"/>
              </w:rPr>
              <w:t>perverse</w:t>
            </w:r>
            <w:r w:rsidR="00F3009F">
              <w:rPr>
                <w:color w:val="17365D" w:themeColor="text2" w:themeShade="BF"/>
                <w:lang w:val="en-US"/>
              </w:rPr>
              <w:t xml:space="preserve"> decision</w:t>
            </w:r>
            <w:r w:rsidR="00733DA3">
              <w:rPr>
                <w:color w:val="17365D" w:themeColor="text2" w:themeShade="BF"/>
                <w:lang w:val="en-US"/>
              </w:rPr>
              <w:t xml:space="preserve"> in this context</w:t>
            </w:r>
            <w:r>
              <w:rPr>
                <w:color w:val="17365D" w:themeColor="text2" w:themeShade="BF"/>
                <w:lang w:val="en-US"/>
              </w:rPr>
              <w:t xml:space="preserve">.  </w:t>
            </w:r>
          </w:p>
          <w:p w14:paraId="2C9791C9" w14:textId="77777777" w:rsidR="00616BC9" w:rsidRDefault="00616BC9" w:rsidP="00F15DA6">
            <w:pPr>
              <w:pStyle w:val="ListNumber"/>
            </w:pPr>
            <w:r>
              <w:t>Do you have any additional comments about this option?</w:t>
            </w:r>
          </w:p>
          <w:p w14:paraId="2C9791CA" w14:textId="77777777" w:rsidR="00A6024E" w:rsidRPr="00F15DA6" w:rsidRDefault="00A6024E" w:rsidP="00F15DA6">
            <w:pPr>
              <w:rPr>
                <w:color w:val="17365D" w:themeColor="text2" w:themeShade="BF"/>
              </w:rPr>
            </w:pPr>
            <w:r w:rsidRPr="00F15DA6">
              <w:rPr>
                <w:color w:val="17365D" w:themeColor="text2" w:themeShade="BF"/>
              </w:rPr>
              <w:t>This option is clearly topical given the wholesale, directed and enforced pooling exercise which is currently underway in England &amp; Wales.</w:t>
            </w:r>
          </w:p>
          <w:p w14:paraId="2C9791CB" w14:textId="77777777" w:rsidR="008B7C03" w:rsidRDefault="00A6024E" w:rsidP="00F15DA6">
            <w:pPr>
              <w:rPr>
                <w:color w:val="17365D" w:themeColor="text2" w:themeShade="BF"/>
              </w:rPr>
            </w:pPr>
            <w:r w:rsidRPr="00F15DA6">
              <w:rPr>
                <w:color w:val="17365D" w:themeColor="text2" w:themeShade="BF"/>
              </w:rPr>
              <w:t xml:space="preserve">It is much too early to judge the success of that exercise but it is apparent that </w:t>
            </w:r>
            <w:r w:rsidR="008B7C03" w:rsidRPr="00F15DA6">
              <w:rPr>
                <w:color w:val="17365D" w:themeColor="text2" w:themeShade="BF"/>
              </w:rPr>
              <w:t>it is costly and time-consuming; that very different approaches are being adopted by the different pool</w:t>
            </w:r>
            <w:r w:rsidR="00733DA3" w:rsidRPr="00F15DA6">
              <w:rPr>
                <w:color w:val="17365D" w:themeColor="text2" w:themeShade="BF"/>
              </w:rPr>
              <w:t>s</w:t>
            </w:r>
            <w:r w:rsidR="008B7C03" w:rsidRPr="00F15DA6">
              <w:rPr>
                <w:color w:val="17365D" w:themeColor="text2" w:themeShade="BF"/>
              </w:rPr>
              <w:t xml:space="preserve">; and that it is creating resource gaps as staff transfer away from administering authorities. </w:t>
            </w:r>
          </w:p>
          <w:p w14:paraId="74C1FC9F" w14:textId="61761657" w:rsidR="006E0903" w:rsidRPr="00F15DA6" w:rsidRDefault="006E0903" w:rsidP="00F15DA6">
            <w:pPr>
              <w:rPr>
                <w:color w:val="17365D" w:themeColor="text2" w:themeShade="BF"/>
              </w:rPr>
            </w:pPr>
            <w:r>
              <w:rPr>
                <w:color w:val="17365D" w:themeColor="text2" w:themeShade="BF"/>
              </w:rPr>
              <w:lastRenderedPageBreak/>
              <w:t xml:space="preserve">The payback period for costs incurred is likely to span many years  and it is also likely to be some time until the pools settle fully into their new structures. </w:t>
            </w:r>
          </w:p>
          <w:p w14:paraId="2C9791CC" w14:textId="77777777" w:rsidR="00616BC9" w:rsidRPr="00F15DA6" w:rsidRDefault="008B7C03" w:rsidP="00F15DA6">
            <w:r w:rsidRPr="00F15DA6">
              <w:rPr>
                <w:color w:val="17365D" w:themeColor="text2" w:themeShade="BF"/>
              </w:rPr>
              <w:t xml:space="preserve">SPF would not support this approach in Scotland, but there might be some merit in more selective pooling, on a voluntary basis either of individual asset classes or by specific groups of funds.  </w:t>
            </w:r>
          </w:p>
        </w:tc>
      </w:tr>
    </w:tbl>
    <w:p w14:paraId="2C9791CE" w14:textId="77777777" w:rsidR="00616BC9" w:rsidRDefault="00616BC9" w:rsidP="00513272">
      <w:pPr>
        <w:jc w:val="right"/>
      </w:pPr>
    </w:p>
    <w:p w14:paraId="2C9791CF"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C9791D2" w14:textId="77777777" w:rsidTr="00F3009F">
        <w:tc>
          <w:tcPr>
            <w:tcW w:w="9180" w:type="dxa"/>
            <w:tcBorders>
              <w:top w:val="nil"/>
              <w:left w:val="nil"/>
              <w:right w:val="nil"/>
            </w:tcBorders>
          </w:tcPr>
          <w:p w14:paraId="2C9791D0" w14:textId="77777777" w:rsidR="00C22506" w:rsidRDefault="00616BC9" w:rsidP="00C22506">
            <w:pPr>
              <w:pStyle w:val="Heading2"/>
              <w:outlineLvl w:val="1"/>
            </w:pPr>
            <w:r>
              <w:lastRenderedPageBreak/>
              <w:t xml:space="preserve">Question 4: </w:t>
            </w:r>
            <w:r w:rsidRPr="00616BC9">
              <w:t>Merge the funds into one or more new funds</w:t>
            </w:r>
          </w:p>
          <w:p w14:paraId="2C9791D1" w14:textId="77777777" w:rsidR="00616BC9" w:rsidRDefault="00616BC9" w:rsidP="00F3009F">
            <w:r>
              <w:t>The text can wrap onto additional pages</w:t>
            </w:r>
            <w:r w:rsidR="00CB2A52">
              <w:t>.</w:t>
            </w:r>
          </w:p>
        </w:tc>
      </w:tr>
      <w:tr w:rsidR="00616BC9" w14:paraId="2C9791FA" w14:textId="77777777" w:rsidTr="00F3009F">
        <w:tc>
          <w:tcPr>
            <w:tcW w:w="9180" w:type="dxa"/>
          </w:tcPr>
          <w:p w14:paraId="2C9791D3" w14:textId="77777777" w:rsidR="00616BC9" w:rsidRPr="00C22506" w:rsidRDefault="00616BC9" w:rsidP="00F15DA6">
            <w:pPr>
              <w:pStyle w:val="ListNumber"/>
              <w:numPr>
                <w:ilvl w:val="0"/>
                <w:numId w:val="35"/>
              </w:numPr>
            </w:pPr>
            <w:r w:rsidRPr="00C22506">
              <w:t xml:space="preserve">Cost of investing: </w:t>
            </w:r>
          </w:p>
          <w:p w14:paraId="2C9791D4" w14:textId="77777777" w:rsidR="00616BC9" w:rsidRDefault="00616BC9" w:rsidP="00C22506">
            <w:pPr>
              <w:pStyle w:val="Question"/>
              <w:rPr>
                <w:color w:val="4A442A" w:themeColor="background2" w:themeShade="40"/>
              </w:rPr>
            </w:pPr>
            <w:r w:rsidRPr="00C22506">
              <w:t>What impact do you think mergers between funds would have on the cost of investing</w:t>
            </w:r>
            <w:r w:rsidR="00C22506" w:rsidRPr="00C22506">
              <w:t>?</w:t>
            </w:r>
          </w:p>
          <w:p w14:paraId="2C9791D5" w14:textId="77777777" w:rsidR="00E94AF9" w:rsidRPr="00354862" w:rsidRDefault="00354862" w:rsidP="00E94AF9">
            <w:pPr>
              <w:rPr>
                <w:color w:val="17365D" w:themeColor="text2" w:themeShade="BF"/>
                <w:lang w:val="en-US"/>
              </w:rPr>
            </w:pPr>
            <w:r>
              <w:rPr>
                <w:color w:val="17365D" w:themeColor="text2" w:themeShade="BF"/>
                <w:lang w:val="en-US"/>
              </w:rPr>
              <w:t>Answer as for pooling at 3.a, above.</w:t>
            </w:r>
          </w:p>
          <w:p w14:paraId="2C9791D6" w14:textId="77777777" w:rsidR="00616BC9" w:rsidRDefault="00616BC9" w:rsidP="00C22506">
            <w:pPr>
              <w:pStyle w:val="Question"/>
            </w:pPr>
            <w:r w:rsidRPr="00C22506">
              <w:t xml:space="preserve">What would be the positive impacts? </w:t>
            </w:r>
          </w:p>
          <w:p w14:paraId="2C9791D7" w14:textId="77777777" w:rsidR="00354862" w:rsidRPr="00354862" w:rsidRDefault="00354862" w:rsidP="00354862">
            <w:pPr>
              <w:rPr>
                <w:color w:val="17365D" w:themeColor="text2" w:themeShade="BF"/>
                <w:lang w:val="en-US"/>
              </w:rPr>
            </w:pPr>
            <w:r w:rsidRPr="00354862">
              <w:rPr>
                <w:color w:val="17365D" w:themeColor="text2" w:themeShade="BF"/>
                <w:lang w:val="en-US"/>
              </w:rPr>
              <w:t>Answer as for pooling</w:t>
            </w:r>
            <w:r w:rsidR="00F3009F">
              <w:rPr>
                <w:color w:val="17365D" w:themeColor="text2" w:themeShade="BF"/>
                <w:lang w:val="en-US"/>
              </w:rPr>
              <w:t xml:space="preserve"> at 3.a, above.</w:t>
            </w:r>
          </w:p>
          <w:p w14:paraId="2C9791D8" w14:textId="77777777" w:rsidR="00616BC9" w:rsidRDefault="00616BC9" w:rsidP="00C22506">
            <w:pPr>
              <w:pStyle w:val="Question"/>
            </w:pPr>
            <w:r w:rsidRPr="00C22506">
              <w:t>What would be the negative impacts?</w:t>
            </w:r>
          </w:p>
          <w:p w14:paraId="2C9791D9" w14:textId="77777777" w:rsidR="00012566" w:rsidRDefault="00012566" w:rsidP="00E94AF9">
            <w:pPr>
              <w:rPr>
                <w:color w:val="17365D" w:themeColor="text2" w:themeShade="BF"/>
                <w:lang w:val="en-US"/>
              </w:rPr>
            </w:pPr>
            <w:r w:rsidRPr="00012566">
              <w:rPr>
                <w:color w:val="17365D" w:themeColor="text2" w:themeShade="BF"/>
                <w:lang w:val="en-US"/>
              </w:rPr>
              <w:t>Answer as for pooling at 3.a, above</w:t>
            </w:r>
            <w:r w:rsidR="00F3009F">
              <w:rPr>
                <w:color w:val="17365D" w:themeColor="text2" w:themeShade="BF"/>
                <w:lang w:val="en-US"/>
              </w:rPr>
              <w:t>, but the transitional costs would be much greater</w:t>
            </w:r>
            <w:r w:rsidRPr="00012566">
              <w:rPr>
                <w:color w:val="17365D" w:themeColor="text2" w:themeShade="BF"/>
                <w:lang w:val="en-US"/>
              </w:rPr>
              <w:t>.</w:t>
            </w:r>
          </w:p>
          <w:p w14:paraId="2C9791DA" w14:textId="77777777"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14:paraId="2C9791DB" w14:textId="77777777" w:rsidR="00012566" w:rsidRPr="00D151BB" w:rsidRDefault="00012566" w:rsidP="00012566">
            <w:pPr>
              <w:rPr>
                <w:color w:val="17365D" w:themeColor="text2" w:themeShade="BF"/>
                <w:lang w:val="en-US"/>
              </w:rPr>
            </w:pPr>
            <w:r w:rsidRPr="00012566">
              <w:rPr>
                <w:color w:val="17365D" w:themeColor="text2" w:themeShade="BF"/>
                <w:lang w:val="en-US"/>
              </w:rPr>
              <w:t xml:space="preserve">Clearly, this would need to be given mutual consideration by at least 2 funds. </w:t>
            </w:r>
            <w:r>
              <w:rPr>
                <w:color w:val="17365D" w:themeColor="text2" w:themeShade="BF"/>
                <w:lang w:val="en-US"/>
              </w:rPr>
              <w:t xml:space="preserve">Each would need to carry out its own cost benefit analysis of the merits of merging. </w:t>
            </w:r>
            <w:r w:rsidR="007E6A4F">
              <w:rPr>
                <w:color w:val="17365D" w:themeColor="text2" w:themeShade="BF"/>
                <w:lang w:val="en-US"/>
              </w:rPr>
              <w:t xml:space="preserve"> A merger should only proceed if it was mutually beneficial. </w:t>
            </w:r>
          </w:p>
          <w:p w14:paraId="2C9791DC" w14:textId="77777777" w:rsidR="00616BC9" w:rsidRDefault="00616BC9" w:rsidP="00C22506">
            <w:pPr>
              <w:pStyle w:val="Question"/>
            </w:pPr>
            <w:r w:rsidRPr="00C22506">
              <w:t>Under what circumstances should the SLGPS consider directing funds to merge?</w:t>
            </w:r>
          </w:p>
          <w:p w14:paraId="2C9791DD" w14:textId="77777777" w:rsidR="007E6A4F" w:rsidRPr="007E6A4F" w:rsidRDefault="007E6A4F" w:rsidP="007E6A4F">
            <w:pPr>
              <w:rPr>
                <w:color w:val="17365D" w:themeColor="text2" w:themeShade="BF"/>
                <w:lang w:val="en-US"/>
              </w:rPr>
            </w:pPr>
            <w:r w:rsidRPr="007E6A4F">
              <w:rPr>
                <w:color w:val="17365D" w:themeColor="text2" w:themeShade="BF"/>
                <w:lang w:val="en-US"/>
              </w:rPr>
              <w:t>Answer as for pooling at 3.a, above.</w:t>
            </w:r>
          </w:p>
          <w:p w14:paraId="2C9791DE" w14:textId="77777777" w:rsidR="00616BC9" w:rsidRDefault="00616BC9" w:rsidP="00F15DA6">
            <w:pPr>
              <w:pStyle w:val="ListNumber"/>
            </w:pPr>
            <w:r>
              <w:t xml:space="preserve">Governance: </w:t>
            </w:r>
          </w:p>
          <w:p w14:paraId="2C9791DF" w14:textId="77777777" w:rsidR="00616BC9" w:rsidRDefault="00616BC9" w:rsidP="00C22506">
            <w:pPr>
              <w:pStyle w:val="Question"/>
            </w:pPr>
            <w:r w:rsidRPr="00C22506">
              <w:t xml:space="preserve">What impact do you think mergers between funds would have on governance? </w:t>
            </w:r>
          </w:p>
          <w:p w14:paraId="2C9791E0" w14:textId="77777777" w:rsidR="007E6A4F" w:rsidRPr="007E6A4F" w:rsidRDefault="007E6A4F" w:rsidP="007E6A4F">
            <w:pPr>
              <w:rPr>
                <w:color w:val="17365D" w:themeColor="text2" w:themeShade="BF"/>
                <w:lang w:val="en-US"/>
              </w:rPr>
            </w:pPr>
            <w:r>
              <w:rPr>
                <w:color w:val="17365D" w:themeColor="text2" w:themeShade="BF"/>
                <w:lang w:val="en-US"/>
              </w:rPr>
              <w:t xml:space="preserve">Merger would inevitably reduce or remove local involvement in pension fund governance. The degree of this would depend on the model and extent of the merger. </w:t>
            </w:r>
          </w:p>
          <w:p w14:paraId="2C9791E1" w14:textId="77777777" w:rsidR="00616BC9" w:rsidRDefault="00616BC9" w:rsidP="00C22506">
            <w:pPr>
              <w:pStyle w:val="Question"/>
            </w:pPr>
            <w:r w:rsidRPr="00C22506">
              <w:t xml:space="preserve">What would be the positive impacts? </w:t>
            </w:r>
          </w:p>
          <w:p w14:paraId="2C9791E2" w14:textId="77777777" w:rsidR="007E6A4F" w:rsidRPr="007E6A4F" w:rsidRDefault="001F45C1" w:rsidP="007E6A4F">
            <w:pPr>
              <w:rPr>
                <w:color w:val="17365D" w:themeColor="text2" w:themeShade="BF"/>
                <w:lang w:val="en-US"/>
              </w:rPr>
            </w:pPr>
            <w:r>
              <w:rPr>
                <w:color w:val="17365D" w:themeColor="text2" w:themeShade="BF"/>
                <w:lang w:val="en-US"/>
              </w:rPr>
              <w:t>A merged model would require less governance resource than individual governance models, but this is only truly a positive if the merged model is more effective.</w:t>
            </w:r>
          </w:p>
          <w:p w14:paraId="2C9791E3" w14:textId="77777777" w:rsidR="00616BC9" w:rsidRDefault="00616BC9" w:rsidP="00C22506">
            <w:pPr>
              <w:pStyle w:val="Question"/>
            </w:pPr>
            <w:r w:rsidRPr="00C22506">
              <w:t>What would be the negative impacts?</w:t>
            </w:r>
          </w:p>
          <w:p w14:paraId="2C9791E4" w14:textId="77777777" w:rsidR="001F45C1" w:rsidRPr="001F45C1" w:rsidRDefault="001F45C1" w:rsidP="001F45C1">
            <w:pPr>
              <w:rPr>
                <w:color w:val="17365D" w:themeColor="text2" w:themeShade="BF"/>
                <w:lang w:val="en-US"/>
              </w:rPr>
            </w:pPr>
            <w:r>
              <w:rPr>
                <w:color w:val="17365D" w:themeColor="text2" w:themeShade="BF"/>
                <w:lang w:val="en-US"/>
              </w:rPr>
              <w:t xml:space="preserve"> A merged model would increase the reliance on a smaller number of individuals.</w:t>
            </w:r>
          </w:p>
          <w:p w14:paraId="2C9791E5" w14:textId="77777777" w:rsidR="00616BC9" w:rsidRDefault="00616BC9" w:rsidP="00F15DA6">
            <w:pPr>
              <w:pStyle w:val="ListNumber"/>
            </w:pPr>
            <w:r>
              <w:t xml:space="preserve">Operating risks: </w:t>
            </w:r>
          </w:p>
          <w:p w14:paraId="2C9791E6" w14:textId="77777777" w:rsidR="00616BC9" w:rsidRDefault="00616BC9" w:rsidP="00C22506">
            <w:pPr>
              <w:pStyle w:val="Question"/>
            </w:pPr>
            <w:r w:rsidRPr="00C22506">
              <w:t xml:space="preserve">What impact do you think mergers between funds would have on operating risks? </w:t>
            </w:r>
          </w:p>
          <w:p w14:paraId="2C9791E7" w14:textId="77777777" w:rsidR="00012566" w:rsidRPr="00012566" w:rsidRDefault="00012566" w:rsidP="00012566">
            <w:pPr>
              <w:rPr>
                <w:color w:val="17365D" w:themeColor="text2" w:themeShade="BF"/>
                <w:lang w:val="en-US"/>
              </w:rPr>
            </w:pPr>
            <w:r w:rsidRPr="00012566">
              <w:rPr>
                <w:color w:val="17365D" w:themeColor="text2" w:themeShade="BF"/>
                <w:lang w:val="en-US"/>
              </w:rPr>
              <w:t xml:space="preserve">In some instances merger can be beneficial – i.e. if the merged entity was more likely to achieve the objectives than either/any of the separate entities individually. </w:t>
            </w:r>
          </w:p>
          <w:p w14:paraId="2C9791E8" w14:textId="77777777" w:rsidR="001F45C1" w:rsidRDefault="00012566" w:rsidP="00012566">
            <w:pPr>
              <w:rPr>
                <w:color w:val="17365D" w:themeColor="text2" w:themeShade="BF"/>
                <w:lang w:val="en-US"/>
              </w:rPr>
            </w:pPr>
            <w:r w:rsidRPr="00012566">
              <w:rPr>
                <w:color w:val="17365D" w:themeColor="text2" w:themeShade="BF"/>
                <w:lang w:val="en-US"/>
              </w:rPr>
              <w:lastRenderedPageBreak/>
              <w:t xml:space="preserve">However, for investors diversification is the primary risk mitigation. Merging investments is certain to involve a concentration of risk. </w:t>
            </w:r>
          </w:p>
          <w:p w14:paraId="2C9791E9" w14:textId="77777777" w:rsidR="00C60977" w:rsidRDefault="00C60977" w:rsidP="00012566">
            <w:pPr>
              <w:rPr>
                <w:color w:val="17365D" w:themeColor="text2" w:themeShade="BF"/>
                <w:lang w:val="en-US"/>
              </w:rPr>
            </w:pPr>
            <w:r>
              <w:rPr>
                <w:color w:val="17365D" w:themeColor="text2" w:themeShade="BF"/>
                <w:lang w:val="en-US"/>
              </w:rPr>
              <w:t xml:space="preserve">A full merger of </w:t>
            </w:r>
            <w:r w:rsidR="00012566" w:rsidRPr="00012566">
              <w:rPr>
                <w:color w:val="17365D" w:themeColor="text2" w:themeShade="BF"/>
                <w:lang w:val="en-US"/>
              </w:rPr>
              <w:t>Scottish fund</w:t>
            </w:r>
            <w:r>
              <w:rPr>
                <w:color w:val="17365D" w:themeColor="text2" w:themeShade="BF"/>
                <w:lang w:val="en-US"/>
              </w:rPr>
              <w:t>s</w:t>
            </w:r>
            <w:r w:rsidR="00012566" w:rsidRPr="00012566">
              <w:rPr>
                <w:color w:val="17365D" w:themeColor="text2" w:themeShade="BF"/>
                <w:lang w:val="en-US"/>
              </w:rPr>
              <w:t xml:space="preserve"> </w:t>
            </w:r>
            <w:r w:rsidR="001F45C1">
              <w:rPr>
                <w:color w:val="17365D" w:themeColor="text2" w:themeShade="BF"/>
                <w:lang w:val="en-US"/>
              </w:rPr>
              <w:t xml:space="preserve">might </w:t>
            </w:r>
            <w:r>
              <w:rPr>
                <w:color w:val="17365D" w:themeColor="text2" w:themeShade="BF"/>
                <w:lang w:val="en-US"/>
              </w:rPr>
              <w:t xml:space="preserve">have </w:t>
            </w:r>
            <w:r w:rsidR="001F45C1">
              <w:rPr>
                <w:color w:val="17365D" w:themeColor="text2" w:themeShade="BF"/>
                <w:lang w:val="en-US"/>
              </w:rPr>
              <w:t xml:space="preserve">slightly increased probability of </w:t>
            </w:r>
            <w:r>
              <w:rPr>
                <w:color w:val="17365D" w:themeColor="text2" w:themeShade="BF"/>
                <w:lang w:val="en-US"/>
              </w:rPr>
              <w:t>success. But size is no guarantee of success, and the impact of failure would be very significant.</w:t>
            </w:r>
          </w:p>
          <w:p w14:paraId="2C9791EA" w14:textId="77777777" w:rsidR="00616BC9" w:rsidRDefault="00616BC9" w:rsidP="00C22506">
            <w:pPr>
              <w:pStyle w:val="Question"/>
            </w:pPr>
            <w:r w:rsidRPr="00C22506">
              <w:t xml:space="preserve">What would be the positive impacts? </w:t>
            </w:r>
          </w:p>
          <w:p w14:paraId="2C9791EB" w14:textId="77777777" w:rsidR="00C60977" w:rsidRPr="00C60977" w:rsidRDefault="00C60977" w:rsidP="00C60977">
            <w:pPr>
              <w:rPr>
                <w:color w:val="17365D" w:themeColor="text2" w:themeShade="BF"/>
                <w:lang w:val="en-US"/>
              </w:rPr>
            </w:pPr>
            <w:r w:rsidRPr="00C60977">
              <w:rPr>
                <w:color w:val="17365D" w:themeColor="text2" w:themeShade="BF"/>
                <w:lang w:val="en-US"/>
              </w:rPr>
              <w:t>Potentially, better risk models.</w:t>
            </w:r>
          </w:p>
          <w:p w14:paraId="2C9791EC" w14:textId="77777777" w:rsidR="00616BC9" w:rsidRDefault="00616BC9" w:rsidP="00C22506">
            <w:pPr>
              <w:pStyle w:val="Question"/>
            </w:pPr>
            <w:r w:rsidRPr="00C22506">
              <w:t>What would be the negative impacts?</w:t>
            </w:r>
          </w:p>
          <w:p w14:paraId="2C9791ED" w14:textId="77777777" w:rsidR="00C60977" w:rsidRPr="00C60977" w:rsidRDefault="00C60977" w:rsidP="00C60977">
            <w:pPr>
              <w:rPr>
                <w:color w:val="17365D" w:themeColor="text2" w:themeShade="BF"/>
                <w:lang w:val="en-US"/>
              </w:rPr>
            </w:pPr>
            <w:r w:rsidRPr="00C60977">
              <w:rPr>
                <w:color w:val="17365D" w:themeColor="text2" w:themeShade="BF"/>
                <w:lang w:val="en-US"/>
              </w:rPr>
              <w:t>Concentration of risk.</w:t>
            </w:r>
          </w:p>
          <w:p w14:paraId="2C9791EE" w14:textId="77777777" w:rsidR="00616BC9" w:rsidRPr="002541D9" w:rsidRDefault="00616BC9" w:rsidP="00F15DA6">
            <w:pPr>
              <w:pStyle w:val="ListNumber"/>
              <w:rPr>
                <w:u w:val="single"/>
              </w:rPr>
            </w:pPr>
            <w:r>
              <w:t>Infrastructure:</w:t>
            </w:r>
          </w:p>
          <w:p w14:paraId="2C9791EF" w14:textId="77777777" w:rsidR="00616BC9" w:rsidRDefault="00616BC9" w:rsidP="00C22506">
            <w:pPr>
              <w:pStyle w:val="Question"/>
            </w:pPr>
            <w:r w:rsidRPr="00C22506">
              <w:t xml:space="preserve">What impact do you think mergers between funds would have on funds’ ability to invest in infrastructure? </w:t>
            </w:r>
          </w:p>
          <w:p w14:paraId="2C9791F0" w14:textId="77777777" w:rsidR="00C60977" w:rsidRDefault="00C60977" w:rsidP="00C60977">
            <w:pPr>
              <w:rPr>
                <w:color w:val="17365D" w:themeColor="text2" w:themeShade="BF"/>
                <w:lang w:val="en-US"/>
              </w:rPr>
            </w:pPr>
            <w:r>
              <w:rPr>
                <w:color w:val="17365D" w:themeColor="text2" w:themeShade="BF"/>
                <w:lang w:val="en-US"/>
              </w:rPr>
              <w:t xml:space="preserve">A full merger of Scottish funds could increase investment in infrastructure, but this would depend on the </w:t>
            </w:r>
            <w:r w:rsidR="00B22FD4">
              <w:rPr>
                <w:color w:val="17365D" w:themeColor="text2" w:themeShade="BF"/>
                <w:lang w:val="en-US"/>
              </w:rPr>
              <w:t>investment strategy of the merged fund and those managing it.</w:t>
            </w:r>
          </w:p>
          <w:p w14:paraId="2C9791F1" w14:textId="77777777" w:rsidR="00C60977" w:rsidRPr="00C60977" w:rsidRDefault="00B22FD4" w:rsidP="00C60977">
            <w:pPr>
              <w:rPr>
                <w:lang w:val="en-US"/>
              </w:rPr>
            </w:pPr>
            <w:r>
              <w:rPr>
                <w:color w:val="17365D" w:themeColor="text2" w:themeShade="BF"/>
                <w:lang w:val="en-US"/>
              </w:rPr>
              <w:t>However, m</w:t>
            </w:r>
            <w:r w:rsidR="00C60977">
              <w:rPr>
                <w:color w:val="17365D" w:themeColor="text2" w:themeShade="BF"/>
                <w:lang w:val="en-US"/>
              </w:rPr>
              <w:t xml:space="preserve">erging the funds simply to achieve more investment in infrastructure, which is not a primary pension fund objective, would be </w:t>
            </w:r>
            <w:r w:rsidR="00C2463A">
              <w:rPr>
                <w:color w:val="17365D" w:themeColor="text2" w:themeShade="BF"/>
                <w:lang w:val="en-US"/>
              </w:rPr>
              <w:t xml:space="preserve">a </w:t>
            </w:r>
            <w:r w:rsidR="00C60977">
              <w:rPr>
                <w:color w:val="17365D" w:themeColor="text2" w:themeShade="BF"/>
                <w:lang w:val="en-US"/>
              </w:rPr>
              <w:t>perverse</w:t>
            </w:r>
            <w:r w:rsidR="00C2463A">
              <w:rPr>
                <w:color w:val="17365D" w:themeColor="text2" w:themeShade="BF"/>
                <w:lang w:val="en-US"/>
              </w:rPr>
              <w:t xml:space="preserve"> decision</w:t>
            </w:r>
            <w:r w:rsidR="00C60977">
              <w:rPr>
                <w:color w:val="17365D" w:themeColor="text2" w:themeShade="BF"/>
                <w:lang w:val="en-US"/>
              </w:rPr>
              <w:t xml:space="preserve">.  </w:t>
            </w:r>
          </w:p>
          <w:p w14:paraId="2C9791F2" w14:textId="77777777" w:rsidR="00616BC9" w:rsidRDefault="00616BC9" w:rsidP="00C22506">
            <w:pPr>
              <w:pStyle w:val="Question"/>
            </w:pPr>
            <w:r w:rsidRPr="00C22506">
              <w:t xml:space="preserve">What would be the positive impacts? </w:t>
            </w:r>
          </w:p>
          <w:p w14:paraId="2C9791F3" w14:textId="77777777" w:rsidR="00C2463A" w:rsidRPr="00C2463A" w:rsidRDefault="00C2463A" w:rsidP="00C2463A">
            <w:pPr>
              <w:rPr>
                <w:color w:val="17365D" w:themeColor="text2" w:themeShade="BF"/>
                <w:lang w:val="en-US"/>
              </w:rPr>
            </w:pPr>
            <w:r>
              <w:rPr>
                <w:color w:val="17365D" w:themeColor="text2" w:themeShade="BF"/>
                <w:lang w:val="en-US"/>
              </w:rPr>
              <w:t>A merged fund or funds could potentially make larger individual investments.</w:t>
            </w:r>
          </w:p>
          <w:p w14:paraId="2C9791F4" w14:textId="77777777" w:rsidR="00616BC9" w:rsidRDefault="00616BC9" w:rsidP="00C22506">
            <w:pPr>
              <w:pStyle w:val="Question"/>
            </w:pPr>
            <w:r w:rsidRPr="00C22506">
              <w:t>What would be the negative impacts?</w:t>
            </w:r>
          </w:p>
          <w:p w14:paraId="2C9791F5" w14:textId="77777777" w:rsidR="00C2463A" w:rsidRPr="00C2463A" w:rsidRDefault="00C2463A" w:rsidP="00C2463A">
            <w:pPr>
              <w:rPr>
                <w:color w:val="17365D" w:themeColor="text2" w:themeShade="BF"/>
                <w:lang w:val="en-US"/>
              </w:rPr>
            </w:pPr>
            <w:r>
              <w:rPr>
                <w:color w:val="17365D" w:themeColor="text2" w:themeShade="BF"/>
                <w:lang w:val="en-US"/>
              </w:rPr>
              <w:t xml:space="preserve">Larger individual investments could represent a greater concentration of risk. </w:t>
            </w:r>
          </w:p>
          <w:p w14:paraId="2C9791F6" w14:textId="77777777" w:rsidR="00616BC9" w:rsidRDefault="00616BC9" w:rsidP="00F15DA6">
            <w:pPr>
              <w:pStyle w:val="ListNumber"/>
            </w:pPr>
            <w:r>
              <w:t>Do you have any additional comments about this option?</w:t>
            </w:r>
          </w:p>
          <w:p w14:paraId="2C9791F7" w14:textId="77777777" w:rsidR="00616BC9" w:rsidRDefault="00C2463A" w:rsidP="000C4E12">
            <w:pPr>
              <w:rPr>
                <w:color w:val="17365D" w:themeColor="text2" w:themeShade="BF"/>
              </w:rPr>
            </w:pPr>
            <w:r w:rsidRPr="001D7C8C">
              <w:rPr>
                <w:color w:val="17365D" w:themeColor="text2" w:themeShade="BF"/>
              </w:rPr>
              <w:t xml:space="preserve">At the extreme, merger into one fund would be likely to break the direct link between the scheme and local government by taking the fund out of local government control. </w:t>
            </w:r>
          </w:p>
          <w:p w14:paraId="2C9791F8" w14:textId="77777777" w:rsidR="008033A3" w:rsidRPr="001D7C8C" w:rsidRDefault="008033A3" w:rsidP="000C4E12">
            <w:pPr>
              <w:rPr>
                <w:color w:val="17365D" w:themeColor="text2" w:themeShade="BF"/>
              </w:rPr>
            </w:pPr>
            <w:r>
              <w:rPr>
                <w:color w:val="17365D" w:themeColor="text2" w:themeShade="BF"/>
              </w:rPr>
              <w:t>Whilst a fund of this size would undoubtedly enjoy benefits of scale, size is not a guarantor</w:t>
            </w:r>
            <w:r w:rsidR="00F3009F">
              <w:rPr>
                <w:color w:val="17365D" w:themeColor="text2" w:themeShade="BF"/>
              </w:rPr>
              <w:t>,</w:t>
            </w:r>
            <w:r>
              <w:rPr>
                <w:color w:val="17365D" w:themeColor="text2" w:themeShade="BF"/>
              </w:rPr>
              <w:t xml:space="preserve"> nor necessarily a determinant of success. </w:t>
            </w:r>
          </w:p>
          <w:p w14:paraId="2C9791F9" w14:textId="77777777" w:rsidR="00616BC9" w:rsidRDefault="008033A3" w:rsidP="00F3009F">
            <w:r w:rsidRPr="008033A3">
              <w:rPr>
                <w:color w:val="17365D" w:themeColor="text2" w:themeShade="BF"/>
              </w:rPr>
              <w:t xml:space="preserve">The UK’s </w:t>
            </w:r>
            <w:r>
              <w:rPr>
                <w:color w:val="17365D" w:themeColor="text2" w:themeShade="BF"/>
              </w:rPr>
              <w:t xml:space="preserve">2 largest pension funds are the Universities Superannuation Scheme (USS) and the British Telecom Pension Scheme (BTPS). Both have assets of around £50 billion (a little more than the combined value of the Scottish LGPS funds). Both are very well managed in many respects. Yet both have significant funding deficits – in excess of £10 billion in each case </w:t>
            </w:r>
            <w:r w:rsidR="00B84796">
              <w:rPr>
                <w:color w:val="17365D" w:themeColor="text2" w:themeShade="BF"/>
              </w:rPr>
              <w:t xml:space="preserve">– </w:t>
            </w:r>
            <w:r>
              <w:rPr>
                <w:color w:val="17365D" w:themeColor="text2" w:themeShade="BF"/>
              </w:rPr>
              <w:t xml:space="preserve">and are contemplating, or have effected closure of their schemes to new defined benefit accrual. </w:t>
            </w:r>
          </w:p>
        </w:tc>
      </w:tr>
    </w:tbl>
    <w:p w14:paraId="2C9791FB" w14:textId="77777777" w:rsidR="00616BC9" w:rsidRDefault="00616BC9" w:rsidP="00513272">
      <w:pPr>
        <w:jc w:val="right"/>
      </w:pPr>
      <w:r>
        <w:lastRenderedPageBreak/>
        <w:br/>
      </w:r>
    </w:p>
    <w:p w14:paraId="2C9791FC" w14:textId="77777777" w:rsidR="00616BC9" w:rsidRDefault="00616BC9" w:rsidP="00616BC9">
      <w:r>
        <w:br w:type="page"/>
      </w:r>
    </w:p>
    <w:tbl>
      <w:tblPr>
        <w:tblStyle w:val="TableGrid"/>
        <w:tblW w:w="0" w:type="auto"/>
        <w:tblLook w:val="04A0" w:firstRow="1" w:lastRow="0" w:firstColumn="1" w:lastColumn="0" w:noHBand="0" w:noVBand="1"/>
      </w:tblPr>
      <w:tblGrid>
        <w:gridCol w:w="9026"/>
      </w:tblGrid>
      <w:tr w:rsidR="00616BC9" w14:paraId="2C9791FF" w14:textId="77777777" w:rsidTr="00F3009F">
        <w:tc>
          <w:tcPr>
            <w:tcW w:w="9180" w:type="dxa"/>
            <w:tcBorders>
              <w:top w:val="nil"/>
              <w:left w:val="nil"/>
              <w:right w:val="nil"/>
            </w:tcBorders>
          </w:tcPr>
          <w:p w14:paraId="2C9791FD" w14:textId="77777777" w:rsidR="00C22506" w:rsidRPr="00C22506" w:rsidRDefault="00616BC9" w:rsidP="00C22506">
            <w:pPr>
              <w:pStyle w:val="Heading2"/>
              <w:outlineLvl w:val="1"/>
            </w:pPr>
            <w:r w:rsidRPr="00C22506">
              <w:lastRenderedPageBreak/>
              <w:t>Question 5: Preferred and additional options</w:t>
            </w:r>
          </w:p>
          <w:p w14:paraId="2C9791FE" w14:textId="77777777" w:rsidR="00616BC9" w:rsidRDefault="00616BC9" w:rsidP="00C22506">
            <w:r>
              <w:t>The text can wrap onto additional pages</w:t>
            </w:r>
            <w:r w:rsidR="00CB2A52">
              <w:t>.</w:t>
            </w:r>
          </w:p>
        </w:tc>
      </w:tr>
      <w:tr w:rsidR="00616BC9" w14:paraId="2C979220" w14:textId="77777777" w:rsidTr="00F3009F">
        <w:tc>
          <w:tcPr>
            <w:tcW w:w="9180" w:type="dxa"/>
          </w:tcPr>
          <w:p w14:paraId="2C979200" w14:textId="77777777" w:rsidR="00616BC9" w:rsidRDefault="00616BC9" w:rsidP="00F15DA6">
            <w:pPr>
              <w:pStyle w:val="ListNumber"/>
              <w:numPr>
                <w:ilvl w:val="0"/>
                <w:numId w:val="36"/>
              </w:numPr>
            </w:pPr>
            <w:r>
              <w:t>Which option does your organisation prefer? Please explain your preference.</w:t>
            </w:r>
          </w:p>
          <w:p w14:paraId="2C979201" w14:textId="7C04A943" w:rsidR="00EB3610" w:rsidRDefault="008033A3" w:rsidP="00C22506">
            <w:pPr>
              <w:rPr>
                <w:color w:val="17365D" w:themeColor="text2" w:themeShade="BF"/>
              </w:rPr>
            </w:pPr>
            <w:r>
              <w:rPr>
                <w:color w:val="17365D" w:themeColor="text2" w:themeShade="BF"/>
              </w:rPr>
              <w:t>SPF has a current value of £21</w:t>
            </w:r>
            <w:r w:rsidR="00815A78">
              <w:rPr>
                <w:color w:val="17365D" w:themeColor="text2" w:themeShade="BF"/>
              </w:rPr>
              <w:t>.</w:t>
            </w:r>
            <w:r w:rsidR="004310EE">
              <w:rPr>
                <w:color w:val="17365D" w:themeColor="text2" w:themeShade="BF"/>
              </w:rPr>
              <w:t>997</w:t>
            </w:r>
            <w:r>
              <w:rPr>
                <w:color w:val="17365D" w:themeColor="text2" w:themeShade="BF"/>
              </w:rPr>
              <w:t xml:space="preserve"> billion, current membership of </w:t>
            </w:r>
            <w:r w:rsidR="00EB3610">
              <w:rPr>
                <w:color w:val="17365D" w:themeColor="text2" w:themeShade="BF"/>
              </w:rPr>
              <w:t>23</w:t>
            </w:r>
            <w:r w:rsidR="004310EE">
              <w:rPr>
                <w:color w:val="17365D" w:themeColor="text2" w:themeShade="BF"/>
              </w:rPr>
              <w:t>6</w:t>
            </w:r>
            <w:r w:rsidR="00EB3610">
              <w:rPr>
                <w:color w:val="17365D" w:themeColor="text2" w:themeShade="BF"/>
              </w:rPr>
              <w:t>,000 and a current funding level in excess of 1</w:t>
            </w:r>
            <w:r w:rsidR="00815A78">
              <w:rPr>
                <w:color w:val="17365D" w:themeColor="text2" w:themeShade="BF"/>
              </w:rPr>
              <w:t>1</w:t>
            </w:r>
            <w:r w:rsidR="004310EE">
              <w:rPr>
                <w:color w:val="17365D" w:themeColor="text2" w:themeShade="BF"/>
              </w:rPr>
              <w:t>4</w:t>
            </w:r>
            <w:r w:rsidR="00EB3610">
              <w:rPr>
                <w:color w:val="17365D" w:themeColor="text2" w:themeShade="BF"/>
              </w:rPr>
              <w:t xml:space="preserve">%. </w:t>
            </w:r>
          </w:p>
          <w:p w14:paraId="65B1A22B" w14:textId="7575BD9C" w:rsidR="00150277" w:rsidRDefault="00150277" w:rsidP="00C22506">
            <w:pPr>
              <w:rPr>
                <w:color w:val="17365D" w:themeColor="text2" w:themeShade="BF"/>
              </w:rPr>
            </w:pPr>
            <w:r>
              <w:rPr>
                <w:color w:val="17365D" w:themeColor="text2" w:themeShade="BF"/>
              </w:rPr>
              <w:t xml:space="preserve">SPF has a governance structure and risk processes appropriate for a fund of this very significant size, utilising internal and external expertise.  </w:t>
            </w:r>
          </w:p>
          <w:p w14:paraId="2C979202" w14:textId="67C8676B" w:rsidR="004D21B6" w:rsidRDefault="00EB3610" w:rsidP="00C22506">
            <w:pPr>
              <w:rPr>
                <w:color w:val="17365D" w:themeColor="text2" w:themeShade="BF"/>
              </w:rPr>
            </w:pPr>
            <w:r>
              <w:rPr>
                <w:color w:val="17365D" w:themeColor="text2" w:themeShade="BF"/>
              </w:rPr>
              <w:t>SPF enjoys considerable benefits of scale in terms of cost</w:t>
            </w:r>
            <w:r w:rsidR="00B84796">
              <w:rPr>
                <w:color w:val="17365D" w:themeColor="text2" w:themeShade="BF"/>
              </w:rPr>
              <w:t>,</w:t>
            </w:r>
            <w:r>
              <w:rPr>
                <w:color w:val="17365D" w:themeColor="text2" w:themeShade="BF"/>
              </w:rPr>
              <w:t xml:space="preserve"> influence</w:t>
            </w:r>
            <w:r w:rsidR="00B84796">
              <w:rPr>
                <w:color w:val="17365D" w:themeColor="text2" w:themeShade="BF"/>
              </w:rPr>
              <w:t>,</w:t>
            </w:r>
            <w:r>
              <w:rPr>
                <w:color w:val="17365D" w:themeColor="text2" w:themeShade="BF"/>
              </w:rPr>
              <w:t xml:space="preserve"> and access to investments</w:t>
            </w:r>
            <w:r w:rsidR="006E0903">
              <w:rPr>
                <w:color w:val="17365D" w:themeColor="text2" w:themeShade="BF"/>
              </w:rPr>
              <w:t xml:space="preserve"> and is able to manage or avoid </w:t>
            </w:r>
            <w:r>
              <w:rPr>
                <w:color w:val="17365D" w:themeColor="text2" w:themeShade="BF"/>
              </w:rPr>
              <w:t xml:space="preserve">the potential downside that scale can bring (lack of flexibility, insufficient scale of opportunity, concentration of risk). </w:t>
            </w:r>
          </w:p>
          <w:p w14:paraId="2C979203" w14:textId="77777777" w:rsidR="00EB3610" w:rsidRDefault="004D21B6" w:rsidP="00C22506">
            <w:pPr>
              <w:rPr>
                <w:color w:val="17365D" w:themeColor="text2" w:themeShade="BF"/>
              </w:rPr>
            </w:pPr>
            <w:r>
              <w:rPr>
                <w:color w:val="17365D" w:themeColor="text2" w:themeShade="BF"/>
              </w:rPr>
              <w:t>SPF has existing infrastructure commitments of over £1 billion. The infrastructure strategy is relatively new and this total is likely to increase, particularly if attractive opportunities continue to emerge.</w:t>
            </w:r>
            <w:r w:rsidR="00EB3610">
              <w:rPr>
                <w:color w:val="17365D" w:themeColor="text2" w:themeShade="BF"/>
              </w:rPr>
              <w:t xml:space="preserve">  </w:t>
            </w:r>
          </w:p>
          <w:p w14:paraId="2C979204" w14:textId="25BCBB9D" w:rsidR="00C22506" w:rsidRDefault="00EB3610" w:rsidP="00C22506">
            <w:pPr>
              <w:rPr>
                <w:color w:val="17365D" w:themeColor="text2" w:themeShade="BF"/>
              </w:rPr>
            </w:pPr>
            <w:r>
              <w:rPr>
                <w:color w:val="17365D" w:themeColor="text2" w:themeShade="BF"/>
              </w:rPr>
              <w:t xml:space="preserve">From an SPF perspective, it is not clear what would be gained by its members or participating employers from adoption of any of the proposed alternative models. </w:t>
            </w:r>
            <w:r w:rsidR="00BD075E">
              <w:rPr>
                <w:color w:val="17365D" w:themeColor="text2" w:themeShade="BF"/>
              </w:rPr>
              <w:t xml:space="preserve">It is certain, though, that there would be significant costs and risks associated with any change.  </w:t>
            </w:r>
            <w:r w:rsidR="008033A3">
              <w:rPr>
                <w:color w:val="17365D" w:themeColor="text2" w:themeShade="BF"/>
              </w:rPr>
              <w:t xml:space="preserve"> </w:t>
            </w:r>
          </w:p>
          <w:p w14:paraId="2C979205" w14:textId="77777777" w:rsidR="00616BC9" w:rsidRDefault="00616BC9" w:rsidP="00F15DA6">
            <w:pPr>
              <w:pStyle w:val="ListNumber"/>
            </w:pPr>
            <w:r w:rsidRPr="00604047">
              <w:t>What other options should be considered for the future structure of the LGPS?</w:t>
            </w:r>
          </w:p>
          <w:p w14:paraId="2C979206" w14:textId="77777777" w:rsidR="00C22506" w:rsidRDefault="008F1C07" w:rsidP="00C22506">
            <w:pPr>
              <w:rPr>
                <w:color w:val="17365D" w:themeColor="text2" w:themeShade="BF"/>
              </w:rPr>
            </w:pPr>
            <w:r>
              <w:rPr>
                <w:color w:val="17365D" w:themeColor="text2" w:themeShade="BF"/>
              </w:rPr>
              <w:t>Whilst the other Scottish funds may not enjoy the same benefits of scale as SPF, they do appear to be achieving their objectives.</w:t>
            </w:r>
          </w:p>
          <w:p w14:paraId="2C979207" w14:textId="77777777" w:rsidR="008F1C07" w:rsidRDefault="008F1C07" w:rsidP="00C22506">
            <w:pPr>
              <w:rPr>
                <w:color w:val="17365D" w:themeColor="text2" w:themeShade="BF"/>
              </w:rPr>
            </w:pPr>
            <w:r w:rsidRPr="00670BC4">
              <w:rPr>
                <w:color w:val="17365D" w:themeColor="text2" w:themeShade="BF"/>
              </w:rPr>
              <w:t xml:space="preserve">The scheme does face significant challenges in the current, difficult pensions environment, and funds will need to adapt to address these. </w:t>
            </w:r>
            <w:r>
              <w:rPr>
                <w:color w:val="17365D" w:themeColor="text2" w:themeShade="BF"/>
              </w:rPr>
              <w:t>There are extant examples of how the other options considered in this consultation can assist with this.</w:t>
            </w:r>
          </w:p>
          <w:p w14:paraId="2C979208" w14:textId="77777777" w:rsidR="008F1C07" w:rsidRDefault="008F1C07" w:rsidP="00C22506">
            <w:pPr>
              <w:rPr>
                <w:color w:val="17365D" w:themeColor="text2" w:themeShade="BF"/>
              </w:rPr>
            </w:pPr>
            <w:r>
              <w:rPr>
                <w:color w:val="17365D" w:themeColor="text2" w:themeShade="BF"/>
              </w:rPr>
              <w:t>These include:</w:t>
            </w:r>
          </w:p>
          <w:p w14:paraId="2C979209" w14:textId="77777777" w:rsidR="008F1C07" w:rsidRPr="004D21B6" w:rsidRDefault="008F1C07" w:rsidP="004D21B6">
            <w:pPr>
              <w:pStyle w:val="ListParagraph"/>
              <w:numPr>
                <w:ilvl w:val="0"/>
                <w:numId w:val="30"/>
              </w:numPr>
              <w:rPr>
                <w:color w:val="17365D" w:themeColor="text2" w:themeShade="BF"/>
              </w:rPr>
            </w:pPr>
            <w:r w:rsidRPr="004D21B6">
              <w:rPr>
                <w:color w:val="17365D" w:themeColor="text2" w:themeShade="BF"/>
              </w:rPr>
              <w:t xml:space="preserve">collaboration between all the funds to introduce the LGPS 2015 scheme </w:t>
            </w:r>
          </w:p>
          <w:p w14:paraId="2C97920A" w14:textId="77777777" w:rsidR="008F1C07" w:rsidRPr="004D21B6" w:rsidRDefault="008F1C07" w:rsidP="004D21B6">
            <w:pPr>
              <w:pStyle w:val="ListParagraph"/>
              <w:numPr>
                <w:ilvl w:val="0"/>
                <w:numId w:val="30"/>
              </w:numPr>
              <w:rPr>
                <w:color w:val="17365D" w:themeColor="text2" w:themeShade="BF"/>
              </w:rPr>
            </w:pPr>
            <w:r w:rsidRPr="004D21B6">
              <w:rPr>
                <w:color w:val="17365D" w:themeColor="text2" w:themeShade="BF"/>
              </w:rPr>
              <w:t>the joint Lothian and Falkirk initiative on infrastructure investment</w:t>
            </w:r>
          </w:p>
          <w:p w14:paraId="2C97920B" w14:textId="77777777" w:rsidR="004D21B6" w:rsidRPr="004D21B6" w:rsidRDefault="004D21B6" w:rsidP="004D21B6">
            <w:pPr>
              <w:pStyle w:val="ListParagraph"/>
              <w:numPr>
                <w:ilvl w:val="0"/>
                <w:numId w:val="30"/>
              </w:numPr>
              <w:rPr>
                <w:color w:val="17365D" w:themeColor="text2" w:themeShade="BF"/>
              </w:rPr>
            </w:pPr>
            <w:r w:rsidRPr="004D21B6">
              <w:rPr>
                <w:color w:val="17365D" w:themeColor="text2" w:themeShade="BF"/>
              </w:rPr>
              <w:t>the creation of a pooled investment vehicle for Scottish real assets currently being developed by SFT.</w:t>
            </w:r>
          </w:p>
          <w:p w14:paraId="2C97920C" w14:textId="77777777" w:rsidR="008F1C07" w:rsidRDefault="004D21B6" w:rsidP="00C22506">
            <w:pPr>
              <w:rPr>
                <w:color w:val="17365D" w:themeColor="text2" w:themeShade="BF"/>
              </w:rPr>
            </w:pPr>
            <w:r>
              <w:rPr>
                <w:color w:val="17365D" w:themeColor="text2" w:themeShade="BF"/>
              </w:rPr>
              <w:t xml:space="preserve">These are all recent developments which have occurred organically </w:t>
            </w:r>
            <w:r w:rsidR="005527B6">
              <w:rPr>
                <w:color w:val="17365D" w:themeColor="text2" w:themeShade="BF"/>
              </w:rPr>
              <w:t xml:space="preserve">within the existing LGPS structure </w:t>
            </w:r>
            <w:r>
              <w:rPr>
                <w:color w:val="17365D" w:themeColor="text2" w:themeShade="BF"/>
              </w:rPr>
              <w:t>rather than by any form of enforced direction</w:t>
            </w:r>
            <w:r w:rsidR="005527B6">
              <w:rPr>
                <w:color w:val="17365D" w:themeColor="text2" w:themeShade="BF"/>
              </w:rPr>
              <w:t xml:space="preserve"> or change of structure</w:t>
            </w:r>
            <w:r>
              <w:rPr>
                <w:color w:val="17365D" w:themeColor="text2" w:themeShade="BF"/>
              </w:rPr>
              <w:t xml:space="preserve">. </w:t>
            </w:r>
          </w:p>
          <w:p w14:paraId="2C97920D" w14:textId="77777777" w:rsidR="004D21B6" w:rsidRDefault="004D21B6" w:rsidP="00C22506">
            <w:pPr>
              <w:rPr>
                <w:color w:val="17365D" w:themeColor="text2" w:themeShade="BF"/>
              </w:rPr>
            </w:pPr>
            <w:r>
              <w:rPr>
                <w:color w:val="17365D" w:themeColor="text2" w:themeShade="BF"/>
              </w:rPr>
              <w:t>There is undoubtedly more scope for further development of these and similar initiatives</w:t>
            </w:r>
            <w:r w:rsidR="005527B6">
              <w:rPr>
                <w:color w:val="17365D" w:themeColor="text2" w:themeShade="BF"/>
              </w:rPr>
              <w:t xml:space="preserve"> within the current structure</w:t>
            </w:r>
            <w:r w:rsidR="00CA0C38">
              <w:rPr>
                <w:color w:val="17365D" w:themeColor="text2" w:themeShade="BF"/>
              </w:rPr>
              <w:t>, and this should be encouraged and actively supported for the benefit of the funds and their members and participating employers</w:t>
            </w:r>
            <w:r>
              <w:rPr>
                <w:color w:val="17365D" w:themeColor="text2" w:themeShade="BF"/>
              </w:rPr>
              <w:t xml:space="preserve">. </w:t>
            </w:r>
          </w:p>
          <w:p w14:paraId="2C97920E" w14:textId="2DE82795" w:rsidR="00CA0C38" w:rsidRDefault="00915B05" w:rsidP="00C22506">
            <w:pPr>
              <w:rPr>
                <w:color w:val="17365D" w:themeColor="text2" w:themeShade="BF"/>
              </w:rPr>
            </w:pPr>
            <w:r>
              <w:rPr>
                <w:color w:val="17365D" w:themeColor="text2" w:themeShade="BF"/>
              </w:rPr>
              <w:t xml:space="preserve">Future development </w:t>
            </w:r>
            <w:r w:rsidR="005527B6">
              <w:rPr>
                <w:color w:val="17365D" w:themeColor="text2" w:themeShade="BF"/>
              </w:rPr>
              <w:t xml:space="preserve">of the structure </w:t>
            </w:r>
            <w:r>
              <w:rPr>
                <w:color w:val="17365D" w:themeColor="text2" w:themeShade="BF"/>
              </w:rPr>
              <w:t xml:space="preserve">may </w:t>
            </w:r>
            <w:r w:rsidR="00F15DA6">
              <w:rPr>
                <w:color w:val="17365D" w:themeColor="text2" w:themeShade="BF"/>
              </w:rPr>
              <w:t xml:space="preserve">also </w:t>
            </w:r>
            <w:r>
              <w:rPr>
                <w:color w:val="17365D" w:themeColor="text2" w:themeShade="BF"/>
              </w:rPr>
              <w:t>involve po</w:t>
            </w:r>
            <w:r w:rsidR="005527B6">
              <w:rPr>
                <w:color w:val="17365D" w:themeColor="text2" w:themeShade="BF"/>
              </w:rPr>
              <w:t>o</w:t>
            </w:r>
            <w:r>
              <w:rPr>
                <w:color w:val="17365D" w:themeColor="text2" w:themeShade="BF"/>
              </w:rPr>
              <w:t xml:space="preserve">ling or merger of funds but this should only occur where individual funds agree that this would be to the benefit of </w:t>
            </w:r>
            <w:r>
              <w:rPr>
                <w:color w:val="17365D" w:themeColor="text2" w:themeShade="BF"/>
              </w:rPr>
              <w:lastRenderedPageBreak/>
              <w:t xml:space="preserve">their members and employers. </w:t>
            </w:r>
            <w:r w:rsidR="005527B6">
              <w:rPr>
                <w:color w:val="17365D" w:themeColor="text2" w:themeShade="BF"/>
              </w:rPr>
              <w:t>Smaller funds should give serious</w:t>
            </w:r>
            <w:r w:rsidR="00A8357D">
              <w:rPr>
                <w:color w:val="17365D" w:themeColor="text2" w:themeShade="BF"/>
              </w:rPr>
              <w:t xml:space="preserve"> consideration to these options.</w:t>
            </w:r>
          </w:p>
          <w:p w14:paraId="2C97920F" w14:textId="77777777" w:rsidR="006E73CF" w:rsidRDefault="005527B6" w:rsidP="00C22506">
            <w:pPr>
              <w:rPr>
                <w:color w:val="17365D" w:themeColor="text2" w:themeShade="BF"/>
              </w:rPr>
            </w:pPr>
            <w:r>
              <w:rPr>
                <w:color w:val="17365D" w:themeColor="text2" w:themeShade="BF"/>
              </w:rPr>
              <w:t xml:space="preserve">The LGPS in Scotland has a good existing network of communication between funds, but </w:t>
            </w:r>
            <w:r w:rsidR="006E73CF">
              <w:rPr>
                <w:color w:val="17365D" w:themeColor="text2" w:themeShade="BF"/>
              </w:rPr>
              <w:t>its current focus is largely on information sharing and problem-solving rather than structural development. Some reorganisation of this would be required in order to support co-ordinated development. This might include</w:t>
            </w:r>
            <w:r w:rsidR="00D05171">
              <w:rPr>
                <w:color w:val="17365D" w:themeColor="text2" w:themeShade="BF"/>
              </w:rPr>
              <w:t xml:space="preserve"> t</w:t>
            </w:r>
            <w:r w:rsidR="00F15DA6">
              <w:rPr>
                <w:color w:val="17365D" w:themeColor="text2" w:themeShade="BF"/>
              </w:rPr>
              <w:t>he following:</w:t>
            </w:r>
          </w:p>
          <w:p w14:paraId="2C979210" w14:textId="77777777" w:rsidR="00B84796" w:rsidRPr="00DE3E79" w:rsidRDefault="00B84796" w:rsidP="00B84796">
            <w:pPr>
              <w:pStyle w:val="ListParagraph"/>
              <w:numPr>
                <w:ilvl w:val="0"/>
                <w:numId w:val="31"/>
              </w:numPr>
              <w:rPr>
                <w:color w:val="17365D" w:themeColor="text2" w:themeShade="BF"/>
              </w:rPr>
            </w:pPr>
            <w:r>
              <w:rPr>
                <w:color w:val="17365D" w:themeColor="text2" w:themeShade="BF"/>
              </w:rPr>
              <w:t>d</w:t>
            </w:r>
            <w:r w:rsidRPr="00DE3E79">
              <w:rPr>
                <w:color w:val="17365D" w:themeColor="text2" w:themeShade="BF"/>
              </w:rPr>
              <w:t>evelopment of a forward-looking programme to consider potential initiatives such as</w:t>
            </w:r>
            <w:r>
              <w:rPr>
                <w:color w:val="17365D" w:themeColor="text2" w:themeShade="BF"/>
              </w:rPr>
              <w:t>:</w:t>
            </w:r>
            <w:r w:rsidRPr="00DE3E79">
              <w:rPr>
                <w:color w:val="17365D" w:themeColor="text2" w:themeShade="BF"/>
              </w:rPr>
              <w:t xml:space="preserve"> </w:t>
            </w:r>
          </w:p>
          <w:p w14:paraId="2C979211"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oint investment</w:t>
            </w:r>
            <w:r w:rsidR="00F15DA6">
              <w:rPr>
                <w:color w:val="17365D" w:themeColor="text2" w:themeShade="BF"/>
              </w:rPr>
              <w:t>,</w:t>
            </w:r>
            <w:r>
              <w:rPr>
                <w:color w:val="17365D" w:themeColor="text2" w:themeShade="BF"/>
              </w:rPr>
              <w:t xml:space="preserve"> including in infrastructure</w:t>
            </w:r>
          </w:p>
          <w:p w14:paraId="2C979212"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 xml:space="preserve">oint or framework procurement </w:t>
            </w:r>
          </w:p>
          <w:p w14:paraId="2C979213"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 xml:space="preserve">oint or shared diligence </w:t>
            </w:r>
          </w:p>
          <w:p w14:paraId="2C979214"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j</w:t>
            </w:r>
            <w:r w:rsidRPr="00DE3E79">
              <w:rPr>
                <w:color w:val="17365D" w:themeColor="text2" w:themeShade="BF"/>
              </w:rPr>
              <w:t>oint engagement on environmental, social or governance issues</w:t>
            </w:r>
          </w:p>
          <w:p w14:paraId="2C979215"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s</w:t>
            </w:r>
            <w:r w:rsidRPr="00DE3E79">
              <w:rPr>
                <w:color w:val="17365D" w:themeColor="text2" w:themeShade="BF"/>
              </w:rPr>
              <w:t>hared administration and communications.</w:t>
            </w:r>
          </w:p>
          <w:p w14:paraId="2C979216" w14:textId="77777777" w:rsidR="00B84796" w:rsidRPr="00DE3E79" w:rsidRDefault="00B84796" w:rsidP="00B84796">
            <w:pPr>
              <w:pStyle w:val="ListParagraph"/>
              <w:numPr>
                <w:ilvl w:val="1"/>
                <w:numId w:val="32"/>
              </w:numPr>
              <w:rPr>
                <w:color w:val="17365D" w:themeColor="text2" w:themeShade="BF"/>
              </w:rPr>
            </w:pPr>
            <w:r>
              <w:rPr>
                <w:color w:val="17365D" w:themeColor="text2" w:themeShade="BF"/>
              </w:rPr>
              <w:t>e</w:t>
            </w:r>
            <w:r w:rsidRPr="00DE3E79">
              <w:rPr>
                <w:color w:val="17365D" w:themeColor="text2" w:themeShade="BF"/>
              </w:rPr>
              <w:t>tc.</w:t>
            </w:r>
          </w:p>
          <w:p w14:paraId="2C979217" w14:textId="77777777" w:rsidR="00D05171" w:rsidRPr="00DE3E79" w:rsidRDefault="00B84796" w:rsidP="00DE3E79">
            <w:pPr>
              <w:pStyle w:val="ListParagraph"/>
              <w:numPr>
                <w:ilvl w:val="0"/>
                <w:numId w:val="31"/>
              </w:numPr>
              <w:rPr>
                <w:color w:val="17365D" w:themeColor="text2" w:themeShade="BF"/>
              </w:rPr>
            </w:pPr>
            <w:r>
              <w:rPr>
                <w:color w:val="17365D" w:themeColor="text2" w:themeShade="BF"/>
              </w:rPr>
              <w:t xml:space="preserve">a </w:t>
            </w:r>
            <w:r w:rsidR="00D05171" w:rsidRPr="00DE3E79">
              <w:rPr>
                <w:color w:val="17365D" w:themeColor="text2" w:themeShade="BF"/>
              </w:rPr>
              <w:t xml:space="preserve">regular, formalised meeting of fund conveners </w:t>
            </w:r>
          </w:p>
          <w:p w14:paraId="2C979218" w14:textId="77777777" w:rsidR="00D05171" w:rsidRPr="00DE3E79" w:rsidRDefault="00B84796" w:rsidP="00DE3E79">
            <w:pPr>
              <w:pStyle w:val="ListParagraph"/>
              <w:numPr>
                <w:ilvl w:val="0"/>
                <w:numId w:val="31"/>
              </w:numPr>
              <w:rPr>
                <w:color w:val="17365D" w:themeColor="text2" w:themeShade="BF"/>
              </w:rPr>
            </w:pPr>
            <w:r>
              <w:rPr>
                <w:color w:val="17365D" w:themeColor="text2" w:themeShade="BF"/>
              </w:rPr>
              <w:t>a</w:t>
            </w:r>
            <w:r w:rsidR="006E73CF" w:rsidRPr="00DE3E79">
              <w:rPr>
                <w:color w:val="17365D" w:themeColor="text2" w:themeShade="BF"/>
              </w:rPr>
              <w:t>dding resource at a Scheme Advisory Board</w:t>
            </w:r>
            <w:r w:rsidR="00D05171" w:rsidRPr="00DE3E79">
              <w:rPr>
                <w:color w:val="17365D" w:themeColor="text2" w:themeShade="BF"/>
              </w:rPr>
              <w:t xml:space="preserve"> or cross-fund level, as well as in some instances at fund level</w:t>
            </w:r>
          </w:p>
          <w:p w14:paraId="2C979219" w14:textId="77777777" w:rsidR="00D05171" w:rsidRPr="00DE3E79" w:rsidRDefault="00B84796" w:rsidP="00DE3E79">
            <w:pPr>
              <w:pStyle w:val="ListParagraph"/>
              <w:numPr>
                <w:ilvl w:val="0"/>
                <w:numId w:val="31"/>
              </w:numPr>
              <w:rPr>
                <w:color w:val="17365D" w:themeColor="text2" w:themeShade="BF"/>
              </w:rPr>
            </w:pPr>
            <w:r>
              <w:rPr>
                <w:color w:val="17365D" w:themeColor="text2" w:themeShade="BF"/>
              </w:rPr>
              <w:t>e</w:t>
            </w:r>
            <w:r w:rsidR="00D05171" w:rsidRPr="00DE3E79">
              <w:rPr>
                <w:color w:val="17365D" w:themeColor="text2" w:themeShade="BF"/>
              </w:rPr>
              <w:t xml:space="preserve">stablishment of more localised “hubs” to consider structural </w:t>
            </w:r>
            <w:r w:rsidR="00DE3E79">
              <w:rPr>
                <w:color w:val="17365D" w:themeColor="text2" w:themeShade="BF"/>
              </w:rPr>
              <w:t xml:space="preserve">and investment </w:t>
            </w:r>
            <w:r w:rsidR="00D05171" w:rsidRPr="00DE3E79">
              <w:rPr>
                <w:color w:val="17365D" w:themeColor="text2" w:themeShade="BF"/>
              </w:rPr>
              <w:t xml:space="preserve">matters – potentially 3: for the North, West and East of Scotland. </w:t>
            </w:r>
          </w:p>
          <w:p w14:paraId="2C97921A" w14:textId="77777777" w:rsidR="005527B6" w:rsidRDefault="005527B6" w:rsidP="00C22506">
            <w:pPr>
              <w:rPr>
                <w:color w:val="17365D" w:themeColor="text2" w:themeShade="BF"/>
              </w:rPr>
            </w:pPr>
            <w:r>
              <w:rPr>
                <w:color w:val="17365D" w:themeColor="text2" w:themeShade="BF"/>
              </w:rPr>
              <w:t xml:space="preserve">SPF would be </w:t>
            </w:r>
            <w:r w:rsidR="00B84796">
              <w:rPr>
                <w:color w:val="17365D" w:themeColor="text2" w:themeShade="BF"/>
              </w:rPr>
              <w:t xml:space="preserve">happy </w:t>
            </w:r>
            <w:r>
              <w:rPr>
                <w:color w:val="17365D" w:themeColor="text2" w:themeShade="BF"/>
              </w:rPr>
              <w:t>to support</w:t>
            </w:r>
            <w:r w:rsidR="00D05171">
              <w:rPr>
                <w:color w:val="17365D" w:themeColor="text2" w:themeShade="BF"/>
              </w:rPr>
              <w:t xml:space="preserve">, participate in and, where appropriate, lead such initiatives </w:t>
            </w:r>
          </w:p>
          <w:p w14:paraId="2C97921B" w14:textId="77777777" w:rsidR="00616BC9" w:rsidRDefault="00616BC9" w:rsidP="00F15DA6">
            <w:pPr>
              <w:pStyle w:val="ListNumbe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14:paraId="2C97921C" w14:textId="77777777" w:rsidR="00C22506" w:rsidRPr="00DE3E79" w:rsidRDefault="00DE3E79" w:rsidP="00C22506">
            <w:pPr>
              <w:rPr>
                <w:color w:val="17365D" w:themeColor="text2" w:themeShade="BF"/>
              </w:rPr>
            </w:pPr>
            <w:r>
              <w:rPr>
                <w:color w:val="17365D" w:themeColor="text2" w:themeShade="BF"/>
              </w:rPr>
              <w:t xml:space="preserve">Development of the structure on a </w:t>
            </w:r>
            <w:r w:rsidR="00B84796">
              <w:rPr>
                <w:color w:val="17365D" w:themeColor="text2" w:themeShade="BF"/>
              </w:rPr>
              <w:t xml:space="preserve">collaborative basis as </w:t>
            </w:r>
            <w:r>
              <w:rPr>
                <w:color w:val="17365D" w:themeColor="text2" w:themeShade="BF"/>
              </w:rPr>
              <w:t xml:space="preserve">suggested above, could generate many of the advantages of the individual options identified without the disruption, transitional cost and likely unintended consequences that selecting and </w:t>
            </w:r>
            <w:r w:rsidR="00B84796">
              <w:rPr>
                <w:color w:val="17365D" w:themeColor="text2" w:themeShade="BF"/>
              </w:rPr>
              <w:t>mandatin</w:t>
            </w:r>
            <w:r>
              <w:rPr>
                <w:color w:val="17365D" w:themeColor="text2" w:themeShade="BF"/>
              </w:rPr>
              <w:t xml:space="preserve">g one option would produce. </w:t>
            </w:r>
          </w:p>
          <w:p w14:paraId="2C97921D" w14:textId="77777777" w:rsidR="00616BC9" w:rsidRDefault="00616BC9" w:rsidP="00F15DA6">
            <w:pPr>
              <w:pStyle w:val="ListNumber"/>
            </w:pPr>
            <w:r>
              <w:t>Are there any other comments you would like to make?</w:t>
            </w:r>
          </w:p>
          <w:p w14:paraId="2C97921E" w14:textId="77777777" w:rsidR="00C22506" w:rsidRPr="00DE3E79" w:rsidRDefault="00286F98" w:rsidP="00C22506">
            <w:pPr>
              <w:rPr>
                <w:color w:val="17365D" w:themeColor="text2" w:themeShade="BF"/>
              </w:rPr>
            </w:pPr>
            <w:r>
              <w:rPr>
                <w:color w:val="17365D" w:themeColor="text2" w:themeShade="BF"/>
              </w:rPr>
              <w:t xml:space="preserve">It should always be remembered that pensions provision is a very long-term undertaking. Structural development should be clearly focused on the long-term sustainability of the scheme rather than any more transient imperative or objective. </w:t>
            </w:r>
          </w:p>
          <w:p w14:paraId="2C97921F" w14:textId="77777777" w:rsidR="00616BC9" w:rsidRDefault="00616BC9" w:rsidP="00F3009F"/>
        </w:tc>
      </w:tr>
    </w:tbl>
    <w:p w14:paraId="2C979221" w14:textId="77777777" w:rsidR="00513272" w:rsidRDefault="00513272" w:rsidP="00513272">
      <w:pPr>
        <w:jc w:val="right"/>
      </w:pPr>
    </w:p>
    <w:p w14:paraId="2C979222" w14:textId="77777777" w:rsidR="00422809" w:rsidRPr="005855EF" w:rsidRDefault="00422809" w:rsidP="00513272">
      <w:pPr>
        <w:jc w:val="right"/>
      </w:pPr>
      <w:r>
        <w:t>The consultation questions end.</w:t>
      </w:r>
    </w:p>
    <w:sectPr w:rsidR="00422809" w:rsidRPr="005855E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9225" w14:textId="77777777" w:rsidR="00F900A9" w:rsidRDefault="00F900A9" w:rsidP="009A675B">
      <w:pPr>
        <w:spacing w:after="0"/>
      </w:pPr>
      <w:r>
        <w:separator/>
      </w:r>
    </w:p>
  </w:endnote>
  <w:endnote w:type="continuationSeparator" w:id="0">
    <w:p w14:paraId="2C979226" w14:textId="77777777" w:rsidR="00F900A9" w:rsidRDefault="00F900A9"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9223" w14:textId="77777777" w:rsidR="00F900A9" w:rsidRDefault="00F900A9" w:rsidP="009A675B">
      <w:pPr>
        <w:spacing w:after="0"/>
      </w:pPr>
      <w:r>
        <w:separator/>
      </w:r>
    </w:p>
  </w:footnote>
  <w:footnote w:type="continuationSeparator" w:id="0">
    <w:p w14:paraId="2C979224" w14:textId="77777777" w:rsidR="00F900A9" w:rsidRDefault="00F900A9" w:rsidP="009A67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3B7CF" w14:textId="762EF85E" w:rsidR="00F900A9" w:rsidRDefault="00F900A9" w:rsidP="0099278D">
    <w:pPr>
      <w:pStyle w:val="Header"/>
      <w:jc w:val="right"/>
      <w:rPr>
        <w:b/>
        <w:sz w:val="28"/>
        <w:szCs w:val="28"/>
      </w:rPr>
    </w:pPr>
  </w:p>
  <w:p w14:paraId="343E3015" w14:textId="76D5CFD5" w:rsidR="00F900A9" w:rsidRDefault="00DF59AA" w:rsidP="0099278D">
    <w:pPr>
      <w:pStyle w:val="Header"/>
      <w:rPr>
        <w:b/>
        <w:sz w:val="28"/>
        <w:szCs w:val="28"/>
      </w:rPr>
    </w:pPr>
    <w:r>
      <w:rPr>
        <w:b/>
        <w:sz w:val="28"/>
        <w:szCs w:val="28"/>
      </w:rPr>
      <w:t>R</w:t>
    </w:r>
    <w:r w:rsidR="00F900A9">
      <w:rPr>
        <w:b/>
        <w:sz w:val="28"/>
        <w:szCs w:val="28"/>
      </w:rPr>
      <w:t>esponse by Strathclyde Pension Fund</w:t>
    </w:r>
  </w:p>
  <w:p w14:paraId="0AE7447B" w14:textId="77777777" w:rsidR="00F900A9" w:rsidRPr="0099278D" w:rsidRDefault="00F900A9" w:rsidP="0099278D">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667AF23A"/>
    <w:lvl w:ilvl="0" w:tplc="219472D2">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4218078E"/>
    <w:lvl w:ilvl="0" w:tplc="385A64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B81D73"/>
    <w:multiLevelType w:val="hybridMultilevel"/>
    <w:tmpl w:val="E5D000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43ABA"/>
    <w:multiLevelType w:val="hybridMultilevel"/>
    <w:tmpl w:val="7BEC75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1707E"/>
    <w:multiLevelType w:val="hybridMultilevel"/>
    <w:tmpl w:val="36C0AF74"/>
    <w:lvl w:ilvl="0" w:tplc="F44A74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C4044"/>
    <w:multiLevelType w:val="multilevel"/>
    <w:tmpl w:val="81F29C4C"/>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230F1F1C"/>
    <w:multiLevelType w:val="hybridMultilevel"/>
    <w:tmpl w:val="E1BA254A"/>
    <w:lvl w:ilvl="0" w:tplc="CD2EE038">
      <w:start w:val="1"/>
      <w:numFmt w:val="lowerLetter"/>
      <w:pStyle w:val="ListNumb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B827B3"/>
    <w:multiLevelType w:val="hybridMultilevel"/>
    <w:tmpl w:val="C38C5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266907"/>
    <w:multiLevelType w:val="hybridMultilevel"/>
    <w:tmpl w:val="E71CA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713D00"/>
    <w:multiLevelType w:val="hybridMultilevel"/>
    <w:tmpl w:val="DDA81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05A13"/>
    <w:multiLevelType w:val="hybridMultilevel"/>
    <w:tmpl w:val="1FDED7CE"/>
    <w:lvl w:ilvl="0" w:tplc="79F642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113406"/>
    <w:multiLevelType w:val="multilevel"/>
    <w:tmpl w:val="81F29C4C"/>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1713B0"/>
    <w:multiLevelType w:val="hybridMultilevel"/>
    <w:tmpl w:val="F8FEEEA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FE5262D"/>
    <w:multiLevelType w:val="hybridMultilevel"/>
    <w:tmpl w:val="76DA0F0E"/>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13687B"/>
    <w:multiLevelType w:val="hybridMultilevel"/>
    <w:tmpl w:val="0E843A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0"/>
  </w:num>
  <w:num w:numId="3">
    <w:abstractNumId w:val="5"/>
  </w:num>
  <w:num w:numId="4">
    <w:abstractNumId w:val="20"/>
  </w:num>
  <w:num w:numId="5">
    <w:abstractNumId w:val="12"/>
  </w:num>
  <w:num w:numId="6">
    <w:abstractNumId w:val="29"/>
  </w:num>
  <w:num w:numId="7">
    <w:abstractNumId w:val="4"/>
  </w:num>
  <w:num w:numId="8">
    <w:abstractNumId w:val="32"/>
  </w:num>
  <w:num w:numId="9">
    <w:abstractNumId w:val="1"/>
  </w:num>
  <w:num w:numId="10">
    <w:abstractNumId w:val="33"/>
  </w:num>
  <w:num w:numId="11">
    <w:abstractNumId w:val="0"/>
  </w:num>
  <w:num w:numId="12">
    <w:abstractNumId w:val="25"/>
  </w:num>
  <w:num w:numId="13">
    <w:abstractNumId w:val="2"/>
  </w:num>
  <w:num w:numId="14">
    <w:abstractNumId w:val="15"/>
  </w:num>
  <w:num w:numId="15">
    <w:abstractNumId w:val="3"/>
  </w:num>
  <w:num w:numId="16">
    <w:abstractNumId w:val="18"/>
  </w:num>
  <w:num w:numId="17">
    <w:abstractNumId w:val="13"/>
  </w:num>
  <w:num w:numId="18">
    <w:abstractNumId w:val="21"/>
  </w:num>
  <w:num w:numId="19">
    <w:abstractNumId w:val="7"/>
  </w:num>
  <w:num w:numId="20">
    <w:abstractNumId w:val="10"/>
  </w:num>
  <w:num w:numId="21">
    <w:abstractNumId w:val="28"/>
  </w:num>
  <w:num w:numId="22">
    <w:abstractNumId w:val="8"/>
  </w:num>
  <w:num w:numId="23">
    <w:abstractNumId w:val="24"/>
  </w:num>
  <w:num w:numId="24">
    <w:abstractNumId w:val="31"/>
  </w:num>
  <w:num w:numId="25">
    <w:abstractNumId w:val="5"/>
  </w:num>
  <w:num w:numId="26">
    <w:abstractNumId w:val="16"/>
  </w:num>
  <w:num w:numId="27">
    <w:abstractNumId w:val="17"/>
  </w:num>
  <w:num w:numId="28">
    <w:abstractNumId w:val="22"/>
    <w:lvlOverride w:ilvl="0">
      <w:startOverride w:val="1"/>
    </w:lvlOverride>
  </w:num>
  <w:num w:numId="29">
    <w:abstractNumId w:val="22"/>
    <w:lvlOverride w:ilvl="0">
      <w:startOverride w:val="1"/>
    </w:lvlOverride>
  </w:num>
  <w:num w:numId="30">
    <w:abstractNumId w:val="34"/>
  </w:num>
  <w:num w:numId="31">
    <w:abstractNumId w:val="6"/>
  </w:num>
  <w:num w:numId="32">
    <w:abstractNumId w:val="27"/>
  </w:num>
  <w:num w:numId="33">
    <w:abstractNumId w:val="15"/>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1"/>
  </w:num>
  <w:num w:numId="38">
    <w:abstractNumId w:val="14"/>
  </w:num>
  <w:num w:numId="39">
    <w:abstractNumId w:val="9"/>
  </w:num>
  <w:num w:numId="40">
    <w:abstractNumId w:val="26"/>
  </w:num>
  <w:num w:numId="41">
    <w:abstractNumId w:val="2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037DD"/>
    <w:rsid w:val="00012566"/>
    <w:rsid w:val="00013569"/>
    <w:rsid w:val="00046B3B"/>
    <w:rsid w:val="0005430D"/>
    <w:rsid w:val="0008758B"/>
    <w:rsid w:val="00095FE2"/>
    <w:rsid w:val="00096E72"/>
    <w:rsid w:val="000B7171"/>
    <w:rsid w:val="000C4A7C"/>
    <w:rsid w:val="000C4CCF"/>
    <w:rsid w:val="000C4E12"/>
    <w:rsid w:val="00120B36"/>
    <w:rsid w:val="00134C25"/>
    <w:rsid w:val="0014429F"/>
    <w:rsid w:val="00150277"/>
    <w:rsid w:val="001A0D16"/>
    <w:rsid w:val="001D7C8C"/>
    <w:rsid w:val="001F45C1"/>
    <w:rsid w:val="00227DED"/>
    <w:rsid w:val="00253AB5"/>
    <w:rsid w:val="00261BA5"/>
    <w:rsid w:val="00261F14"/>
    <w:rsid w:val="0026669A"/>
    <w:rsid w:val="00286F98"/>
    <w:rsid w:val="00287529"/>
    <w:rsid w:val="002927F9"/>
    <w:rsid w:val="002C6139"/>
    <w:rsid w:val="002D2D71"/>
    <w:rsid w:val="002E3B85"/>
    <w:rsid w:val="00300715"/>
    <w:rsid w:val="00313C8E"/>
    <w:rsid w:val="00354862"/>
    <w:rsid w:val="00371934"/>
    <w:rsid w:val="00390BA9"/>
    <w:rsid w:val="00395114"/>
    <w:rsid w:val="003E6CBB"/>
    <w:rsid w:val="003F64A4"/>
    <w:rsid w:val="0040185F"/>
    <w:rsid w:val="00421F9A"/>
    <w:rsid w:val="00422809"/>
    <w:rsid w:val="00423F7A"/>
    <w:rsid w:val="004310EE"/>
    <w:rsid w:val="00467551"/>
    <w:rsid w:val="00484194"/>
    <w:rsid w:val="00496102"/>
    <w:rsid w:val="004B2A40"/>
    <w:rsid w:val="004C3922"/>
    <w:rsid w:val="004D21B6"/>
    <w:rsid w:val="004D25CB"/>
    <w:rsid w:val="004E4C4C"/>
    <w:rsid w:val="004F5BA0"/>
    <w:rsid w:val="004F6682"/>
    <w:rsid w:val="004F6BBC"/>
    <w:rsid w:val="00513272"/>
    <w:rsid w:val="005217D3"/>
    <w:rsid w:val="00540254"/>
    <w:rsid w:val="005527B6"/>
    <w:rsid w:val="005938F7"/>
    <w:rsid w:val="005B6AD2"/>
    <w:rsid w:val="005E0AC3"/>
    <w:rsid w:val="005F1411"/>
    <w:rsid w:val="006018C2"/>
    <w:rsid w:val="00612995"/>
    <w:rsid w:val="00616BC9"/>
    <w:rsid w:val="00647C8D"/>
    <w:rsid w:val="00663999"/>
    <w:rsid w:val="00670BC4"/>
    <w:rsid w:val="006A555E"/>
    <w:rsid w:val="006C2D94"/>
    <w:rsid w:val="006C41F5"/>
    <w:rsid w:val="006E0903"/>
    <w:rsid w:val="006E367F"/>
    <w:rsid w:val="006E73CF"/>
    <w:rsid w:val="00710F96"/>
    <w:rsid w:val="00730F95"/>
    <w:rsid w:val="00733DA3"/>
    <w:rsid w:val="00754915"/>
    <w:rsid w:val="0079185B"/>
    <w:rsid w:val="00796014"/>
    <w:rsid w:val="007A4112"/>
    <w:rsid w:val="007A4393"/>
    <w:rsid w:val="007D3DE3"/>
    <w:rsid w:val="007E6A4F"/>
    <w:rsid w:val="008033A3"/>
    <w:rsid w:val="00815A78"/>
    <w:rsid w:val="008315CC"/>
    <w:rsid w:val="00866DCD"/>
    <w:rsid w:val="008B7C03"/>
    <w:rsid w:val="008C5A45"/>
    <w:rsid w:val="008E4177"/>
    <w:rsid w:val="008E48E3"/>
    <w:rsid w:val="008F1C07"/>
    <w:rsid w:val="00904DA3"/>
    <w:rsid w:val="009060E7"/>
    <w:rsid w:val="00915B05"/>
    <w:rsid w:val="009244A4"/>
    <w:rsid w:val="00970822"/>
    <w:rsid w:val="0099278D"/>
    <w:rsid w:val="009A675B"/>
    <w:rsid w:val="009D4F44"/>
    <w:rsid w:val="009E6CED"/>
    <w:rsid w:val="009F2DC6"/>
    <w:rsid w:val="00A47523"/>
    <w:rsid w:val="00A6024E"/>
    <w:rsid w:val="00A71D1F"/>
    <w:rsid w:val="00A8357D"/>
    <w:rsid w:val="00A9502D"/>
    <w:rsid w:val="00AA6F99"/>
    <w:rsid w:val="00AB321D"/>
    <w:rsid w:val="00AC4147"/>
    <w:rsid w:val="00AD1D40"/>
    <w:rsid w:val="00B22FD4"/>
    <w:rsid w:val="00B84796"/>
    <w:rsid w:val="00BD075E"/>
    <w:rsid w:val="00C22506"/>
    <w:rsid w:val="00C2463A"/>
    <w:rsid w:val="00C31E54"/>
    <w:rsid w:val="00C60977"/>
    <w:rsid w:val="00C86F34"/>
    <w:rsid w:val="00C95D94"/>
    <w:rsid w:val="00CA0C38"/>
    <w:rsid w:val="00CB2A52"/>
    <w:rsid w:val="00CD3011"/>
    <w:rsid w:val="00CF75C2"/>
    <w:rsid w:val="00CF7E08"/>
    <w:rsid w:val="00D05171"/>
    <w:rsid w:val="00D151BB"/>
    <w:rsid w:val="00D32732"/>
    <w:rsid w:val="00D34F93"/>
    <w:rsid w:val="00D4073B"/>
    <w:rsid w:val="00D53B4B"/>
    <w:rsid w:val="00D669C5"/>
    <w:rsid w:val="00D8595A"/>
    <w:rsid w:val="00D91E43"/>
    <w:rsid w:val="00DB7413"/>
    <w:rsid w:val="00DD4E14"/>
    <w:rsid w:val="00DE3E79"/>
    <w:rsid w:val="00DF59AA"/>
    <w:rsid w:val="00DF776C"/>
    <w:rsid w:val="00E226BF"/>
    <w:rsid w:val="00E44DE6"/>
    <w:rsid w:val="00E61E31"/>
    <w:rsid w:val="00E66357"/>
    <w:rsid w:val="00E85013"/>
    <w:rsid w:val="00E94AF9"/>
    <w:rsid w:val="00EA1A77"/>
    <w:rsid w:val="00EB0337"/>
    <w:rsid w:val="00EB1E01"/>
    <w:rsid w:val="00EB27FA"/>
    <w:rsid w:val="00EB3610"/>
    <w:rsid w:val="00ED7443"/>
    <w:rsid w:val="00F1478B"/>
    <w:rsid w:val="00F15DA6"/>
    <w:rsid w:val="00F3009F"/>
    <w:rsid w:val="00F900A9"/>
    <w:rsid w:val="00F94895"/>
    <w:rsid w:val="00FC3F53"/>
    <w:rsid w:val="00FE2E81"/>
    <w:rsid w:val="00FF5549"/>
    <w:rsid w:val="00FF7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7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8B"/>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F15DA6"/>
    <w:pPr>
      <w:numPr>
        <w:numId w:val="14"/>
      </w:numPr>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 w:type="character" w:styleId="FollowedHyperlink">
    <w:name w:val="FollowedHyperlink"/>
    <w:basedOn w:val="DefaultParagraphFont"/>
    <w:uiPriority w:val="99"/>
    <w:semiHidden/>
    <w:unhideWhenUsed/>
    <w:rsid w:val="00C95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hyperlink" Target="https://www.spfo.org.uk/index.aspx?articleid=2046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fo.org.uk/index.aspx?articleid=22913" TargetMode="External"/><Relationship Id="rId5" Type="http://schemas.openxmlformats.org/officeDocument/2006/relationships/webSettings" Target="webSettings.xml"/><Relationship Id="rId15" Type="http://schemas.openxmlformats.org/officeDocument/2006/relationships/hyperlink" Target="https://www.spfo.org.uk/index.aspx?articleid=16036" TargetMode="External"/><Relationship Id="rId10" Type="http://schemas.openxmlformats.org/officeDocument/2006/relationships/hyperlink" Target="https://www.spfo.org.uk/index.aspx?articleid=14493" TargetMode="External"/><Relationship Id="rId4" Type="http://schemas.openxmlformats.org/officeDocument/2006/relationships/settings" Target="settings.xml"/><Relationship Id="rId9" Type="http://schemas.openxmlformats.org/officeDocument/2006/relationships/hyperlink" Target="https://www.spfo.org.uk/index.aspx?articleid=14464" TargetMode="External"/><Relationship Id="rId14" Type="http://schemas.openxmlformats.org/officeDocument/2006/relationships/hyperlink" Target="http://www.glasgow.gov.uk/councillorsandcommittees/submissiondocuments.asp?submissionid=87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A2D3-264F-4D68-8696-3BF02667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4706</Words>
  <Characters>26826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2018-12-06T11:20:00Z</dcterms:created>
  <dcterms:modified xsi:type="dcterms:W3CDTF">2018-12-06T11:22:00Z</dcterms:modified>
</cp:coreProperties>
</file>