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69A" w:rsidRPr="0025081E" w:rsidRDefault="0026669A" w:rsidP="00C22506">
      <w:pPr>
        <w:pStyle w:val="Heading2"/>
      </w:pPr>
      <w:r w:rsidRPr="0025081E">
        <w:t xml:space="preserve">Review of the Structure of the Scottish Local Government Pension </w:t>
      </w:r>
      <w:r w:rsidR="00D669C5">
        <w:t>Scheme</w:t>
      </w:r>
    </w:p>
    <w:p w:rsidR="00513272" w:rsidRDefault="00E61E31" w:rsidP="0026669A">
      <w:pPr>
        <w:rPr>
          <w:b/>
          <w:sz w:val="24"/>
        </w:rPr>
      </w:pPr>
      <w:r w:rsidRPr="00E61E31">
        <w:rPr>
          <w:b/>
          <w:sz w:val="24"/>
        </w:rPr>
        <w:t>CONSULTATION RESPONSE FORM</w:t>
      </w:r>
    </w:p>
    <w:tbl>
      <w:tblPr>
        <w:tblW w:w="9320" w:type="dxa"/>
        <w:tblInd w:w="8" w:type="dxa"/>
        <w:tblBorders>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320"/>
      </w:tblGrid>
      <w:tr w:rsidR="00540254" w:rsidTr="00540254">
        <w:trPr>
          <w:trHeight w:val="3300"/>
        </w:trPr>
        <w:tc>
          <w:tcPr>
            <w:tcW w:w="9320" w:type="dxa"/>
            <w:shd w:val="clear" w:color="auto" w:fill="D9D9D9" w:themeFill="background1" w:themeFillShade="D9"/>
          </w:tcPr>
          <w:p w:rsidR="00E66357" w:rsidRDefault="00E66357" w:rsidP="00E66357">
            <w:pPr>
              <w:spacing w:after="0"/>
              <w:ind w:left="102"/>
              <w:rPr>
                <w:b/>
              </w:rPr>
            </w:pPr>
          </w:p>
          <w:p w:rsidR="00540254" w:rsidRDefault="00540254" w:rsidP="00540254">
            <w:pPr>
              <w:ind w:left="100"/>
            </w:pPr>
            <w:r w:rsidRPr="002E3B85">
              <w:rPr>
                <w:b/>
              </w:rPr>
              <w:t>Instructions</w:t>
            </w:r>
            <w:r w:rsidR="00E66357">
              <w:rPr>
                <w:b/>
              </w:rPr>
              <w:br/>
            </w:r>
            <w:r>
              <w:t xml:space="preserve">Responses in this form should be drafted in conjunction with the accompanying consultation report.  To respond, please complete the </w:t>
            </w:r>
            <w:r w:rsidRPr="006A555E">
              <w:rPr>
                <w:b/>
              </w:rPr>
              <w:t>respondent details</w:t>
            </w:r>
            <w:r>
              <w:t xml:space="preserve"> and as many of the </w:t>
            </w:r>
            <w:r w:rsidRPr="006A555E">
              <w:rPr>
                <w:b/>
              </w:rPr>
              <w:t>consultation questions</w:t>
            </w:r>
            <w:r>
              <w:t xml:space="preserve"> your organisation wishes to complete and </w:t>
            </w:r>
            <w:r w:rsidRPr="00513272">
              <w:t xml:space="preserve">return </w:t>
            </w:r>
            <w:r>
              <w:t xml:space="preserve">the form </w:t>
            </w:r>
            <w:r w:rsidRPr="00513272">
              <w:t xml:space="preserve">via email to the Pensions Institute at </w:t>
            </w:r>
            <w:hyperlink r:id="rId9" w:history="1">
              <w:r w:rsidRPr="001D7127">
                <w:rPr>
                  <w:rStyle w:val="Hyperlink"/>
                </w:rPr>
                <w:t>consultation@pensions-intitute.org</w:t>
              </w:r>
            </w:hyperlink>
            <w:r>
              <w:t xml:space="preserve"> </w:t>
            </w:r>
            <w:r w:rsidRPr="00513272">
              <w:t xml:space="preserve">no later than </w:t>
            </w:r>
            <w:r w:rsidRPr="006A555E">
              <w:rPr>
                <w:b/>
              </w:rPr>
              <w:t>Friday, 7 December 2018</w:t>
            </w:r>
            <w:r w:rsidRPr="006A555E">
              <w:t>.</w:t>
            </w:r>
          </w:p>
          <w:p w:rsidR="00540254" w:rsidRDefault="00540254" w:rsidP="00540254">
            <w:pPr>
              <w:ind w:left="100"/>
              <w:rPr>
                <w:b/>
              </w:rPr>
            </w:pPr>
            <w:r>
              <w:t xml:space="preserve">This consultation is being conducted in electronic form only, so </w:t>
            </w:r>
            <w:r w:rsidRPr="006A555E">
              <w:rPr>
                <w:b/>
              </w:rPr>
              <w:t>responses must be emailed</w:t>
            </w:r>
            <w:r>
              <w:t xml:space="preserve">; hard copy posted or delivered responses cannot be received. Any queries about the consultation should be addressed to Matthew Roy, Fellow, Pensions Institute at </w:t>
            </w:r>
            <w:r w:rsidRPr="002E3B85">
              <w:t>matthew.roy@pensions-institute.org</w:t>
            </w:r>
            <w:r>
              <w:t xml:space="preserve">. </w:t>
            </w:r>
          </w:p>
        </w:tc>
      </w:tr>
    </w:tbl>
    <w:p w:rsidR="00540254" w:rsidRDefault="00540254" w:rsidP="0026669A">
      <w:pPr>
        <w:rPr>
          <w:b/>
        </w:rPr>
      </w:pPr>
    </w:p>
    <w:p w:rsidR="00E61E31" w:rsidRPr="00513272" w:rsidRDefault="002E3B85" w:rsidP="0026669A">
      <w:pPr>
        <w:rPr>
          <w:b/>
        </w:rPr>
      </w:pPr>
      <w:r w:rsidRPr="00513272">
        <w:rPr>
          <w:b/>
        </w:rPr>
        <w:t>RESPONDENT DETAILS</w:t>
      </w:r>
    </w:p>
    <w:tbl>
      <w:tblPr>
        <w:tblStyle w:val="TableGrid"/>
        <w:tblW w:w="0" w:type="auto"/>
        <w:tblLook w:val="0420" w:firstRow="1" w:lastRow="0" w:firstColumn="0" w:lastColumn="0" w:noHBand="0" w:noVBand="1"/>
      </w:tblPr>
      <w:tblGrid>
        <w:gridCol w:w="6345"/>
        <w:gridCol w:w="2835"/>
      </w:tblGrid>
      <w:tr w:rsidR="00E61E31" w:rsidTr="00262801">
        <w:trPr>
          <w:trHeight w:val="1892"/>
        </w:trPr>
        <w:tc>
          <w:tcPr>
            <w:tcW w:w="6345" w:type="dxa"/>
          </w:tcPr>
          <w:p w:rsidR="00E61E31" w:rsidRDefault="00E61E31" w:rsidP="0026669A">
            <w:r w:rsidRPr="00E61E31">
              <w:rPr>
                <w:b/>
              </w:rPr>
              <w:t>Name of responding organisation(s</w:t>
            </w:r>
            <w:r w:rsidR="003803EE" w:rsidRPr="00E61E31">
              <w:rPr>
                <w:b/>
              </w:rPr>
              <w:t xml:space="preserve">) </w:t>
            </w:r>
            <w:r w:rsidRPr="00E61E31">
              <w:rPr>
                <w:b/>
              </w:rPr>
              <w:br/>
            </w:r>
            <w:r w:rsidRPr="00513272">
              <w:t>Please list the full name of each</w:t>
            </w:r>
            <w:r>
              <w:t xml:space="preserve"> organisation</w:t>
            </w:r>
            <w:r w:rsidR="00E66357">
              <w:br/>
            </w:r>
            <w:r>
              <w:t>participating in this response</w:t>
            </w:r>
            <w:r w:rsidR="00E66357">
              <w:t>.</w:t>
            </w:r>
          </w:p>
        </w:tc>
        <w:tc>
          <w:tcPr>
            <w:tcW w:w="2835" w:type="dxa"/>
          </w:tcPr>
          <w:p w:rsidR="00E61E31" w:rsidRDefault="00616BC9" w:rsidP="00D32732">
            <w:r w:rsidRPr="00616BC9">
              <w:rPr>
                <w:b/>
              </w:rPr>
              <w:t>Organisation type</w:t>
            </w:r>
            <w:r>
              <w:br/>
            </w:r>
            <w:r w:rsidR="00E61E31" w:rsidRPr="00616BC9">
              <w:t>Is your organisation a</w:t>
            </w:r>
            <w:r w:rsidRPr="00616BC9">
              <w:t>n administering authority, employer,</w:t>
            </w:r>
            <w:r w:rsidR="00E61E31" w:rsidRPr="00616BC9">
              <w:t xml:space="preserve"> </w:t>
            </w:r>
            <w:r w:rsidRPr="00616BC9">
              <w:t xml:space="preserve">or </w:t>
            </w:r>
            <w:r w:rsidR="000C4E12">
              <w:t>employee group</w:t>
            </w:r>
            <w:r w:rsidRPr="00616BC9">
              <w:t>? Please</w:t>
            </w:r>
            <w:r w:rsidR="00E61E31" w:rsidRPr="00616BC9">
              <w:t xml:space="preserve"> record for each</w:t>
            </w:r>
            <w:r w:rsidR="00E61E31">
              <w:t xml:space="preserve"> responding organisation</w:t>
            </w:r>
            <w:r w:rsidR="00E66357">
              <w:t>.</w:t>
            </w:r>
          </w:p>
        </w:tc>
      </w:tr>
      <w:tr w:rsidR="00E61E31" w:rsidTr="00262801">
        <w:tc>
          <w:tcPr>
            <w:tcW w:w="6345" w:type="dxa"/>
          </w:tcPr>
          <w:p w:rsidR="00E61E31" w:rsidRPr="004173D9" w:rsidRDefault="00113F41" w:rsidP="00C312C6">
            <w:pPr>
              <w:rPr>
                <w:b/>
              </w:rPr>
            </w:pPr>
            <w:r>
              <w:rPr>
                <w:b/>
              </w:rPr>
              <w:t>Live Borders</w:t>
            </w:r>
          </w:p>
        </w:tc>
        <w:tc>
          <w:tcPr>
            <w:tcW w:w="2835" w:type="dxa"/>
          </w:tcPr>
          <w:p w:rsidR="00E61E31" w:rsidRPr="004173D9" w:rsidRDefault="00113F41" w:rsidP="00262801">
            <w:pPr>
              <w:rPr>
                <w:b/>
              </w:rPr>
            </w:pPr>
            <w:r>
              <w:rPr>
                <w:b/>
              </w:rPr>
              <w:t>Employer</w:t>
            </w:r>
          </w:p>
        </w:tc>
      </w:tr>
      <w:tr w:rsidR="00E61E31" w:rsidTr="00262801">
        <w:tc>
          <w:tcPr>
            <w:tcW w:w="6345" w:type="dxa"/>
          </w:tcPr>
          <w:p w:rsidR="009A675B" w:rsidRDefault="009A675B" w:rsidP="00E61E31"/>
          <w:p w:rsidR="00E61E31" w:rsidRPr="00513272" w:rsidRDefault="00513272" w:rsidP="00E61E31">
            <w:pPr>
              <w:rPr>
                <w:b/>
              </w:rPr>
            </w:pPr>
            <w:r w:rsidRPr="00513272">
              <w:rPr>
                <w:b/>
              </w:rPr>
              <w:t>Authors</w:t>
            </w:r>
            <w:r>
              <w:rPr>
                <w:b/>
              </w:rPr>
              <w:br/>
            </w:r>
            <w:r w:rsidR="00E61E31">
              <w:t>Please list any people that wish to be recorded as authors of this response, including name, job title and organisation</w:t>
            </w:r>
            <w:r w:rsidR="00E66357">
              <w:t>.</w:t>
            </w:r>
          </w:p>
        </w:tc>
        <w:tc>
          <w:tcPr>
            <w:tcW w:w="2835" w:type="dxa"/>
          </w:tcPr>
          <w:p w:rsidR="009A675B" w:rsidRDefault="009A675B" w:rsidP="00D91E43"/>
          <w:p w:rsidR="00E61E31" w:rsidRPr="00513272" w:rsidRDefault="00513272" w:rsidP="00513272">
            <w:pPr>
              <w:rPr>
                <w:b/>
              </w:rPr>
            </w:pPr>
            <w:r w:rsidRPr="00513272">
              <w:rPr>
                <w:b/>
              </w:rPr>
              <w:t>Consent</w:t>
            </w:r>
            <w:r>
              <w:rPr>
                <w:b/>
              </w:rPr>
              <w:br/>
            </w:r>
            <w:r w:rsidR="00E61E31">
              <w:t xml:space="preserve">Please confirm each author consents to their information being retained for </w:t>
            </w:r>
            <w:r>
              <w:t>analysing</w:t>
            </w:r>
            <w:r w:rsidR="00E61E31">
              <w:t xml:space="preserve"> </w:t>
            </w:r>
            <w:r>
              <w:t xml:space="preserve">the </w:t>
            </w:r>
            <w:r w:rsidR="00E61E31">
              <w:t>consultation responses by writing ‘confirm’</w:t>
            </w:r>
            <w:r w:rsidR="00E66357">
              <w:t xml:space="preserve"> by their name.</w:t>
            </w:r>
          </w:p>
        </w:tc>
      </w:tr>
      <w:tr w:rsidR="00E61E31" w:rsidTr="00262801">
        <w:tc>
          <w:tcPr>
            <w:tcW w:w="6345" w:type="dxa"/>
          </w:tcPr>
          <w:p w:rsidR="00113F41" w:rsidRDefault="00113F41" w:rsidP="00C312C6">
            <w:r>
              <w:t>Linda Ross, Director of Business Services</w:t>
            </w:r>
          </w:p>
          <w:p w:rsidR="00C312C6" w:rsidRPr="004173D9" w:rsidRDefault="00113F41" w:rsidP="00113F41">
            <w:r>
              <w:t>(using the consultation response of Scottish Borders Council / Scottish Borders Pension Fund as basis of comments)</w:t>
            </w:r>
          </w:p>
        </w:tc>
        <w:tc>
          <w:tcPr>
            <w:tcW w:w="2835" w:type="dxa"/>
          </w:tcPr>
          <w:p w:rsidR="00E61E31" w:rsidRPr="004173D9" w:rsidRDefault="0084244D" w:rsidP="0026669A">
            <w:r w:rsidRPr="004173D9">
              <w:t>confirm</w:t>
            </w:r>
          </w:p>
        </w:tc>
      </w:tr>
      <w:tr w:rsidR="00513272" w:rsidTr="00262801">
        <w:tc>
          <w:tcPr>
            <w:tcW w:w="6345" w:type="dxa"/>
          </w:tcPr>
          <w:p w:rsidR="00513272" w:rsidRPr="009A675B" w:rsidRDefault="00513272" w:rsidP="0026669A">
            <w:pPr>
              <w:rPr>
                <w:color w:val="BFBFBF" w:themeColor="background1" w:themeShade="BF"/>
              </w:rPr>
            </w:pPr>
          </w:p>
        </w:tc>
        <w:tc>
          <w:tcPr>
            <w:tcW w:w="2835" w:type="dxa"/>
          </w:tcPr>
          <w:p w:rsidR="00513272" w:rsidRPr="009A675B" w:rsidRDefault="00513272" w:rsidP="0026669A">
            <w:pPr>
              <w:rPr>
                <w:color w:val="BFBFBF" w:themeColor="background1" w:themeShade="BF"/>
              </w:rPr>
            </w:pPr>
          </w:p>
        </w:tc>
      </w:tr>
      <w:tr w:rsidR="00E61E31" w:rsidTr="00262801">
        <w:tc>
          <w:tcPr>
            <w:tcW w:w="6345" w:type="dxa"/>
          </w:tcPr>
          <w:p w:rsidR="00E61E31" w:rsidRDefault="00513272" w:rsidP="00E61E31">
            <w:r w:rsidRPr="00513272">
              <w:rPr>
                <w:b/>
              </w:rPr>
              <w:t>Date</w:t>
            </w:r>
            <w:r>
              <w:br/>
            </w:r>
            <w:r w:rsidR="00E61E31">
              <w:t>Please date the response</w:t>
            </w:r>
            <w:r w:rsidR="00E66357">
              <w:t>.</w:t>
            </w:r>
          </w:p>
        </w:tc>
        <w:tc>
          <w:tcPr>
            <w:tcW w:w="2835" w:type="dxa"/>
          </w:tcPr>
          <w:p w:rsidR="00E61E31" w:rsidRDefault="00113F41" w:rsidP="0026669A">
            <w:r>
              <w:t>5/12</w:t>
            </w:r>
            <w:r w:rsidR="004606C8">
              <w:t>/18</w:t>
            </w:r>
          </w:p>
        </w:tc>
      </w:tr>
    </w:tbl>
    <w:p w:rsidR="00513272" w:rsidRDefault="00513272"/>
    <w:tbl>
      <w:tblPr>
        <w:tblStyle w:val="TableGrid"/>
        <w:tblW w:w="0" w:type="auto"/>
        <w:tblLook w:val="04A0" w:firstRow="1" w:lastRow="0" w:firstColumn="1" w:lastColumn="0" w:noHBand="0" w:noVBand="1"/>
      </w:tblPr>
      <w:tblGrid>
        <w:gridCol w:w="9242"/>
      </w:tblGrid>
      <w:tr w:rsidR="00E61E31" w:rsidTr="009A675B">
        <w:tc>
          <w:tcPr>
            <w:tcW w:w="9180" w:type="dxa"/>
            <w:tcBorders>
              <w:top w:val="nil"/>
              <w:left w:val="nil"/>
              <w:right w:val="nil"/>
            </w:tcBorders>
          </w:tcPr>
          <w:p w:rsidR="009A675B" w:rsidRDefault="009A675B" w:rsidP="0026669A"/>
          <w:p w:rsidR="00E61E31" w:rsidRDefault="00513272" w:rsidP="002E3B85">
            <w:r w:rsidRPr="00513272">
              <w:rPr>
                <w:b/>
              </w:rPr>
              <w:t>Covering information</w:t>
            </w:r>
            <w:r>
              <w:br/>
            </w:r>
            <w:r w:rsidR="00E61E31">
              <w:t>If you wish to include covering information with your response, please include the text here</w:t>
            </w:r>
            <w:r>
              <w:t>. The text can wrap o</w:t>
            </w:r>
            <w:r w:rsidR="009A675B">
              <w:t xml:space="preserve">nto additional pages if </w:t>
            </w:r>
            <w:r w:rsidR="002E3B85">
              <w:t>needed</w:t>
            </w:r>
            <w:r w:rsidR="009A675B">
              <w:t>.</w:t>
            </w:r>
          </w:p>
        </w:tc>
      </w:tr>
      <w:tr w:rsidR="00E61E31" w:rsidTr="003E37CD">
        <w:tc>
          <w:tcPr>
            <w:tcW w:w="9180" w:type="dxa"/>
          </w:tcPr>
          <w:p w:rsidR="00113F41" w:rsidRDefault="00113F41" w:rsidP="00C312C6">
            <w:pPr>
              <w:spacing w:after="0"/>
              <w:rPr>
                <w:rFonts w:cs="Arial"/>
                <w:b/>
                <w:color w:val="990033"/>
                <w:sz w:val="24"/>
                <w:szCs w:val="32"/>
                <w:lang w:eastAsia="en-GB"/>
              </w:rPr>
            </w:pPr>
            <w:r>
              <w:rPr>
                <w:rFonts w:cs="Arial"/>
                <w:b/>
                <w:color w:val="990033"/>
                <w:sz w:val="24"/>
                <w:szCs w:val="32"/>
                <w:lang w:eastAsia="en-GB"/>
              </w:rPr>
              <w:t>Live Borders</w:t>
            </w:r>
          </w:p>
          <w:p w:rsidR="00113F41" w:rsidRPr="00437F57" w:rsidRDefault="00113F41" w:rsidP="00C312C6">
            <w:pPr>
              <w:spacing w:after="0"/>
              <w:rPr>
                <w:rFonts w:cs="Arial"/>
                <w:color w:val="002060"/>
                <w:sz w:val="24"/>
                <w:szCs w:val="32"/>
                <w:lang w:eastAsia="en-GB"/>
              </w:rPr>
            </w:pPr>
            <w:r w:rsidRPr="00437F57">
              <w:rPr>
                <w:rFonts w:cs="Arial"/>
                <w:color w:val="002060"/>
                <w:sz w:val="24"/>
                <w:szCs w:val="32"/>
                <w:lang w:eastAsia="en-GB"/>
              </w:rPr>
              <w:t>Live Borders are an</w:t>
            </w:r>
            <w:r w:rsidR="009131E7" w:rsidRPr="00437F57">
              <w:rPr>
                <w:rFonts w:cs="Arial"/>
                <w:color w:val="002060"/>
                <w:sz w:val="24"/>
                <w:szCs w:val="32"/>
                <w:lang w:eastAsia="en-GB"/>
              </w:rPr>
              <w:t xml:space="preserve"> Admitted Body to th</w:t>
            </w:r>
            <w:r w:rsidR="00437F57" w:rsidRPr="00437F57">
              <w:rPr>
                <w:rFonts w:cs="Arial"/>
                <w:color w:val="002060"/>
                <w:sz w:val="24"/>
                <w:szCs w:val="32"/>
                <w:lang w:eastAsia="en-GB"/>
              </w:rPr>
              <w:t>e Scottish Borders Pension Fund.   This Fund is governed by Pension Committee and Board that meet jointly, with the Pension Board also meeting separately.  The consultation response has been discussed at these Forums as well as the Live Borders Board.</w:t>
            </w:r>
          </w:p>
          <w:p w:rsidR="00437F57" w:rsidRPr="00437F57" w:rsidRDefault="00437F57" w:rsidP="00C312C6">
            <w:pPr>
              <w:spacing w:after="0"/>
              <w:rPr>
                <w:rFonts w:cs="Arial"/>
                <w:color w:val="002060"/>
                <w:sz w:val="24"/>
                <w:szCs w:val="32"/>
                <w:lang w:eastAsia="en-GB"/>
              </w:rPr>
            </w:pPr>
          </w:p>
          <w:p w:rsidR="00437F57" w:rsidRPr="00437F57" w:rsidRDefault="00437F57" w:rsidP="00C312C6">
            <w:pPr>
              <w:spacing w:after="0"/>
              <w:rPr>
                <w:rFonts w:cs="Arial"/>
                <w:color w:val="002060"/>
                <w:sz w:val="24"/>
                <w:szCs w:val="32"/>
                <w:lang w:eastAsia="en-GB"/>
              </w:rPr>
            </w:pPr>
            <w:r w:rsidRPr="00437F57">
              <w:rPr>
                <w:rFonts w:cs="Arial"/>
                <w:color w:val="002060"/>
                <w:sz w:val="24"/>
                <w:szCs w:val="32"/>
                <w:lang w:eastAsia="en-GB"/>
              </w:rPr>
              <w:t>Scottish Borders Council Pension Fund consultation response has been repeated as the Live Borders response, as Live Borders fully support this position.</w:t>
            </w:r>
          </w:p>
          <w:p w:rsidR="00437F57" w:rsidRPr="00437F57" w:rsidRDefault="00437F57" w:rsidP="00C312C6">
            <w:pPr>
              <w:spacing w:after="0"/>
              <w:rPr>
                <w:rFonts w:cs="Arial"/>
                <w:color w:val="002060"/>
                <w:sz w:val="24"/>
                <w:szCs w:val="32"/>
                <w:lang w:eastAsia="en-GB"/>
              </w:rPr>
            </w:pPr>
          </w:p>
          <w:p w:rsidR="00113F41" w:rsidRDefault="00113F41" w:rsidP="00C312C6">
            <w:pPr>
              <w:spacing w:after="0"/>
              <w:rPr>
                <w:rFonts w:cs="Arial"/>
                <w:b/>
                <w:color w:val="990033"/>
                <w:sz w:val="24"/>
                <w:szCs w:val="32"/>
                <w:lang w:eastAsia="en-GB"/>
              </w:rPr>
            </w:pPr>
          </w:p>
          <w:p w:rsidR="00113F41" w:rsidRDefault="00113F41" w:rsidP="00C312C6">
            <w:pPr>
              <w:spacing w:after="0"/>
              <w:rPr>
                <w:rFonts w:cs="Arial"/>
                <w:b/>
                <w:color w:val="990033"/>
                <w:sz w:val="24"/>
                <w:szCs w:val="32"/>
                <w:lang w:eastAsia="en-GB"/>
              </w:rPr>
            </w:pPr>
          </w:p>
          <w:p w:rsidR="00C312C6" w:rsidRPr="00113F41" w:rsidRDefault="00C312C6" w:rsidP="00C312C6">
            <w:pPr>
              <w:spacing w:after="0"/>
              <w:rPr>
                <w:rFonts w:cs="Arial"/>
                <w:b/>
                <w:sz w:val="24"/>
                <w:szCs w:val="32"/>
                <w:lang w:eastAsia="en-GB"/>
              </w:rPr>
            </w:pPr>
            <w:r w:rsidRPr="00113F41">
              <w:rPr>
                <w:rFonts w:cs="Arial"/>
                <w:b/>
                <w:sz w:val="24"/>
                <w:szCs w:val="32"/>
                <w:lang w:eastAsia="en-GB"/>
              </w:rPr>
              <w:t>Scottish Borders Council Pension Fund</w:t>
            </w:r>
          </w:p>
          <w:p w:rsidR="00C312C6" w:rsidRDefault="00C312C6" w:rsidP="00C312C6">
            <w:pPr>
              <w:spacing w:after="0"/>
              <w:rPr>
                <w:rFonts w:cs="Arial"/>
                <w:b/>
                <w:color w:val="990033"/>
                <w:sz w:val="24"/>
                <w:szCs w:val="32"/>
                <w:lang w:eastAsia="en-GB"/>
              </w:rPr>
            </w:pPr>
          </w:p>
          <w:p w:rsidR="00C312C6" w:rsidRPr="00E84FCF" w:rsidRDefault="00C312C6" w:rsidP="00E84FCF">
            <w:pPr>
              <w:spacing w:after="0"/>
              <w:rPr>
                <w:rFonts w:cs="Arial"/>
                <w:b/>
                <w:color w:val="365F91" w:themeColor="accent1" w:themeShade="BF"/>
                <w:sz w:val="14"/>
                <w:szCs w:val="32"/>
                <w:lang w:eastAsia="en-GB"/>
              </w:rPr>
            </w:pPr>
            <w:r w:rsidRPr="00C312C6">
              <w:rPr>
                <w:rFonts w:cs="Arial"/>
                <w:sz w:val="22"/>
                <w:szCs w:val="32"/>
                <w:lang w:eastAsia="en-GB"/>
              </w:rPr>
              <w:t>The Scottish Borders Council Pension Fund (the Fund) as part of the Local Government Pension Scheme (LGPS) is administered by Scottish Borders Council (the Administering Authority</w:t>
            </w:r>
            <w:r w:rsidR="00E84FCF">
              <w:rPr>
                <w:rFonts w:cs="Arial"/>
                <w:b/>
                <w:color w:val="365F91" w:themeColor="accent1" w:themeShade="BF"/>
                <w:sz w:val="14"/>
                <w:szCs w:val="32"/>
                <w:lang w:eastAsia="en-GB"/>
              </w:rPr>
              <w:t xml:space="preserve">.  </w:t>
            </w:r>
            <w:r w:rsidR="00E84FCF">
              <w:rPr>
                <w:rFonts w:cs="Arial"/>
                <w:sz w:val="22"/>
                <w:szCs w:val="22"/>
                <w:lang w:eastAsia="en-GB"/>
              </w:rPr>
              <w:t>The fund has 18 scheme employers, 4,409 active members and issued 6,575 benefit statements during in the year to 31 March 2018.  The fund had 10,667 members as at 31/3/18.</w:t>
            </w:r>
          </w:p>
          <w:p w:rsidR="003F50B3" w:rsidRPr="00C312C6" w:rsidRDefault="003F50B3" w:rsidP="00C312C6">
            <w:pPr>
              <w:spacing w:after="0"/>
              <w:jc w:val="both"/>
              <w:rPr>
                <w:rFonts w:cs="Arial"/>
                <w:sz w:val="22"/>
                <w:szCs w:val="22"/>
                <w:lang w:eastAsia="en-GB"/>
              </w:rPr>
            </w:pPr>
          </w:p>
          <w:p w:rsidR="00C312C6" w:rsidRPr="00C312C6" w:rsidRDefault="00C312C6" w:rsidP="00C312C6">
            <w:pPr>
              <w:spacing w:after="0"/>
              <w:jc w:val="both"/>
              <w:rPr>
                <w:rFonts w:cs="Arial"/>
                <w:sz w:val="22"/>
                <w:szCs w:val="22"/>
                <w:lang w:eastAsia="en-GB"/>
              </w:rPr>
            </w:pPr>
          </w:p>
          <w:p w:rsidR="00C312C6" w:rsidRPr="00C312C6" w:rsidRDefault="00C312C6" w:rsidP="00C312C6">
            <w:pPr>
              <w:spacing w:after="0"/>
              <w:jc w:val="both"/>
              <w:rPr>
                <w:rFonts w:cs="Arial"/>
                <w:sz w:val="22"/>
                <w:szCs w:val="22"/>
                <w:lang w:eastAsia="en-GB"/>
              </w:rPr>
            </w:pPr>
            <w:r w:rsidRPr="00C312C6">
              <w:rPr>
                <w:rFonts w:cs="Arial"/>
                <w:sz w:val="22"/>
                <w:szCs w:val="22"/>
                <w:lang w:eastAsia="en-GB"/>
              </w:rPr>
              <w:t>The LGPS scheme is governed by the Public Service Pensions Act 2013.  The fund is administered by the Council in accordance with the following secondary legislation:</w:t>
            </w:r>
          </w:p>
          <w:p w:rsidR="00C312C6" w:rsidRPr="00C312C6" w:rsidRDefault="00C312C6" w:rsidP="00C312C6">
            <w:pPr>
              <w:spacing w:after="0"/>
              <w:jc w:val="both"/>
              <w:rPr>
                <w:rFonts w:cs="Arial"/>
                <w:sz w:val="22"/>
                <w:szCs w:val="22"/>
                <w:lang w:eastAsia="en-GB"/>
              </w:rPr>
            </w:pPr>
          </w:p>
          <w:p w:rsidR="00C312C6" w:rsidRPr="00C312C6" w:rsidRDefault="00C312C6" w:rsidP="00E84FCF">
            <w:pPr>
              <w:numPr>
                <w:ilvl w:val="0"/>
                <w:numId w:val="8"/>
              </w:numPr>
              <w:spacing w:after="0"/>
              <w:contextualSpacing/>
              <w:jc w:val="both"/>
              <w:rPr>
                <w:rFonts w:cs="Arial"/>
                <w:sz w:val="22"/>
                <w:szCs w:val="22"/>
              </w:rPr>
            </w:pPr>
            <w:r w:rsidRPr="00C312C6">
              <w:rPr>
                <w:rFonts w:cs="Arial"/>
                <w:sz w:val="22"/>
                <w:szCs w:val="22"/>
              </w:rPr>
              <w:t>The Local Government Pension Scheme (Scotland) Regulations 2014 (as amended)</w:t>
            </w:r>
          </w:p>
          <w:p w:rsidR="00C312C6" w:rsidRPr="00C312C6" w:rsidRDefault="00C312C6" w:rsidP="00E84FCF">
            <w:pPr>
              <w:numPr>
                <w:ilvl w:val="0"/>
                <w:numId w:val="8"/>
              </w:numPr>
              <w:spacing w:after="0"/>
              <w:contextualSpacing/>
              <w:jc w:val="both"/>
              <w:rPr>
                <w:rFonts w:cs="Arial"/>
                <w:sz w:val="22"/>
                <w:szCs w:val="22"/>
              </w:rPr>
            </w:pPr>
            <w:r w:rsidRPr="00C312C6">
              <w:rPr>
                <w:rFonts w:cs="Arial"/>
                <w:sz w:val="22"/>
                <w:szCs w:val="22"/>
              </w:rPr>
              <w:t>The Local Government Pension Scheme (Transitional Provisions and Savings) (Scotland) Regulations 2014</w:t>
            </w:r>
          </w:p>
          <w:p w:rsidR="00C312C6" w:rsidRPr="00C312C6" w:rsidRDefault="00C312C6" w:rsidP="00E84FCF">
            <w:pPr>
              <w:numPr>
                <w:ilvl w:val="0"/>
                <w:numId w:val="8"/>
              </w:numPr>
              <w:spacing w:after="0"/>
              <w:contextualSpacing/>
              <w:jc w:val="both"/>
              <w:rPr>
                <w:rFonts w:cs="Arial"/>
                <w:sz w:val="22"/>
                <w:szCs w:val="22"/>
              </w:rPr>
            </w:pPr>
            <w:r w:rsidRPr="00C312C6">
              <w:rPr>
                <w:rFonts w:cs="Arial"/>
                <w:sz w:val="22"/>
                <w:szCs w:val="22"/>
              </w:rPr>
              <w:t>The Local Government Pension Scheme (Management and Investment of Funds) (Scotland) Regulations 2010</w:t>
            </w:r>
          </w:p>
          <w:p w:rsidR="00C312C6" w:rsidRPr="00C312C6" w:rsidRDefault="00C312C6" w:rsidP="00E84FCF">
            <w:pPr>
              <w:numPr>
                <w:ilvl w:val="0"/>
                <w:numId w:val="8"/>
              </w:numPr>
              <w:spacing w:after="0"/>
              <w:contextualSpacing/>
              <w:jc w:val="both"/>
              <w:rPr>
                <w:rFonts w:cs="Arial"/>
                <w:sz w:val="22"/>
                <w:szCs w:val="22"/>
              </w:rPr>
            </w:pPr>
            <w:r w:rsidRPr="00C312C6">
              <w:rPr>
                <w:rFonts w:cs="Arial"/>
                <w:sz w:val="22"/>
                <w:szCs w:val="22"/>
              </w:rPr>
              <w:t>The Local Government Pension Scheme (Governance) (Scotland) Regulations 2015</w:t>
            </w:r>
          </w:p>
          <w:p w:rsidR="00C312C6" w:rsidRPr="00C312C6" w:rsidRDefault="00C312C6" w:rsidP="00C312C6">
            <w:pPr>
              <w:spacing w:after="0"/>
              <w:jc w:val="both"/>
              <w:rPr>
                <w:rFonts w:cs="Arial"/>
                <w:sz w:val="22"/>
                <w:szCs w:val="22"/>
                <w:lang w:eastAsia="en-GB"/>
              </w:rPr>
            </w:pPr>
          </w:p>
          <w:p w:rsidR="00C312C6" w:rsidRPr="00C312C6" w:rsidRDefault="00C312C6" w:rsidP="00C312C6">
            <w:pPr>
              <w:spacing w:after="0"/>
              <w:jc w:val="both"/>
              <w:rPr>
                <w:rFonts w:cs="Arial"/>
                <w:sz w:val="22"/>
                <w:szCs w:val="22"/>
                <w:lang w:eastAsia="en-GB"/>
              </w:rPr>
            </w:pPr>
            <w:r w:rsidRPr="00C312C6">
              <w:rPr>
                <w:rFonts w:cs="Arial"/>
                <w:sz w:val="22"/>
                <w:szCs w:val="22"/>
                <w:lang w:eastAsia="en-GB"/>
              </w:rPr>
              <w:t xml:space="preserve">It is a contributory defined benefit pension scheme </w:t>
            </w:r>
            <w:r>
              <w:rPr>
                <w:rFonts w:cs="Arial"/>
                <w:sz w:val="22"/>
                <w:szCs w:val="22"/>
                <w:lang w:eastAsia="en-GB"/>
              </w:rPr>
              <w:t xml:space="preserve">designed </w:t>
            </w:r>
            <w:r w:rsidRPr="00C312C6">
              <w:rPr>
                <w:rFonts w:cs="Arial"/>
                <w:sz w:val="22"/>
                <w:szCs w:val="22"/>
                <w:lang w:eastAsia="en-GB"/>
              </w:rPr>
              <w:t>to provide pensions and other benefits for pensionable employees of Scottish Borders Council and a range of other scheduled and admitted bodies within the Scottish Borders area.</w:t>
            </w:r>
          </w:p>
          <w:p w:rsidR="00C312C6" w:rsidRDefault="00C312C6" w:rsidP="00C312C6">
            <w:pPr>
              <w:spacing w:after="0"/>
              <w:rPr>
                <w:rFonts w:cs="Arial"/>
                <w:b/>
                <w:color w:val="365F91" w:themeColor="accent1" w:themeShade="BF"/>
                <w:sz w:val="22"/>
                <w:szCs w:val="22"/>
                <w:lang w:eastAsia="en-GB"/>
              </w:rPr>
            </w:pPr>
          </w:p>
          <w:p w:rsidR="00E84FCF" w:rsidRPr="00113F41" w:rsidRDefault="00E84FCF" w:rsidP="00C312C6">
            <w:pPr>
              <w:spacing w:after="0"/>
              <w:rPr>
                <w:rFonts w:cs="Arial"/>
                <w:b/>
                <w:sz w:val="22"/>
                <w:szCs w:val="22"/>
                <w:lang w:eastAsia="en-GB"/>
              </w:rPr>
            </w:pPr>
            <w:r w:rsidRPr="00113F41">
              <w:rPr>
                <w:rFonts w:cs="Arial"/>
                <w:b/>
                <w:sz w:val="22"/>
                <w:szCs w:val="22"/>
                <w:lang w:eastAsia="en-GB"/>
              </w:rPr>
              <w:t>Objectives</w:t>
            </w:r>
          </w:p>
          <w:p w:rsidR="00CD5218" w:rsidRPr="00E84FCF" w:rsidRDefault="00CD5218" w:rsidP="00C312C6">
            <w:pPr>
              <w:spacing w:after="0"/>
              <w:rPr>
                <w:rFonts w:cs="Arial"/>
                <w:b/>
                <w:color w:val="C00000"/>
                <w:sz w:val="22"/>
                <w:szCs w:val="22"/>
                <w:lang w:eastAsia="en-GB"/>
              </w:rPr>
            </w:pPr>
          </w:p>
          <w:p w:rsidR="0020468E" w:rsidRDefault="0020468E" w:rsidP="0020468E">
            <w:pPr>
              <w:pStyle w:val="ListParagraph"/>
              <w:spacing w:after="0"/>
              <w:rPr>
                <w:rFonts w:cs="Arial"/>
                <w:b/>
                <w:sz w:val="22"/>
                <w:szCs w:val="22"/>
                <w:lang w:eastAsia="en-GB"/>
              </w:rPr>
            </w:pPr>
            <w:r w:rsidRPr="0020468E">
              <w:rPr>
                <w:rFonts w:cs="Arial"/>
                <w:b/>
                <w:sz w:val="22"/>
                <w:szCs w:val="22"/>
                <w:lang w:eastAsia="en-GB"/>
              </w:rPr>
              <w:t xml:space="preserve">The primary aim of the fund is to </w:t>
            </w:r>
          </w:p>
          <w:p w:rsidR="003345DD" w:rsidRPr="0020468E" w:rsidRDefault="003345DD" w:rsidP="0020468E">
            <w:pPr>
              <w:pStyle w:val="ListParagraph"/>
              <w:spacing w:after="0"/>
              <w:rPr>
                <w:rFonts w:cs="Arial"/>
                <w:sz w:val="22"/>
                <w:szCs w:val="22"/>
                <w:lang w:val="en-US"/>
              </w:rPr>
            </w:pPr>
          </w:p>
          <w:p w:rsidR="0020468E" w:rsidRPr="0020468E" w:rsidRDefault="003345DD" w:rsidP="00E84FCF">
            <w:pPr>
              <w:pStyle w:val="ListParagraph"/>
              <w:numPr>
                <w:ilvl w:val="0"/>
                <w:numId w:val="14"/>
              </w:numPr>
              <w:spacing w:after="0"/>
              <w:rPr>
                <w:rFonts w:cs="Arial"/>
                <w:sz w:val="22"/>
                <w:szCs w:val="22"/>
                <w:lang w:val="en-US"/>
              </w:rPr>
            </w:pPr>
            <w:r>
              <w:rPr>
                <w:rFonts w:eastAsia="+mn-ea" w:cs="Arial"/>
                <w:sz w:val="22"/>
                <w:szCs w:val="22"/>
              </w:rPr>
              <w:t>p</w:t>
            </w:r>
            <w:r w:rsidR="0020468E" w:rsidRPr="0020468E">
              <w:rPr>
                <w:rFonts w:eastAsia="+mn-ea" w:cs="Arial"/>
                <w:sz w:val="22"/>
                <w:szCs w:val="22"/>
              </w:rPr>
              <w:t>rovide for members’ pension and lump sum benefits on their retirement or for their dependants’ benefits on death before or after retirement, on a defined benefits basis.</w:t>
            </w:r>
          </w:p>
          <w:p w:rsidR="0020468E" w:rsidRPr="0020468E" w:rsidRDefault="0020468E" w:rsidP="0020468E">
            <w:pPr>
              <w:pStyle w:val="ListParagraph"/>
              <w:tabs>
                <w:tab w:val="left" w:pos="1117"/>
              </w:tabs>
              <w:spacing w:after="0"/>
              <w:rPr>
                <w:rFonts w:cs="Arial"/>
                <w:sz w:val="22"/>
                <w:szCs w:val="22"/>
                <w:lang w:val="en-US"/>
              </w:rPr>
            </w:pPr>
            <w:r w:rsidRPr="0020468E">
              <w:rPr>
                <w:rFonts w:cs="Arial"/>
                <w:sz w:val="22"/>
                <w:szCs w:val="22"/>
                <w:lang w:val="en-US"/>
              </w:rPr>
              <w:tab/>
            </w:r>
          </w:p>
          <w:p w:rsidR="0020468E" w:rsidRDefault="0020468E" w:rsidP="0020468E">
            <w:pPr>
              <w:pStyle w:val="ListParagraph"/>
              <w:rPr>
                <w:rFonts w:cs="Arial"/>
                <w:b/>
                <w:sz w:val="22"/>
                <w:szCs w:val="22"/>
                <w:lang w:val="en-US"/>
              </w:rPr>
            </w:pPr>
            <w:r w:rsidRPr="0020468E">
              <w:rPr>
                <w:rFonts w:cs="Arial"/>
                <w:b/>
                <w:sz w:val="22"/>
                <w:szCs w:val="22"/>
                <w:lang w:val="en-US"/>
              </w:rPr>
              <w:t xml:space="preserve">The funding Objectives are to </w:t>
            </w:r>
          </w:p>
          <w:p w:rsidR="003345DD" w:rsidRPr="0020468E" w:rsidRDefault="003345DD" w:rsidP="0020468E">
            <w:pPr>
              <w:pStyle w:val="ListParagraph"/>
              <w:rPr>
                <w:rFonts w:cs="Arial"/>
                <w:b/>
                <w:sz w:val="22"/>
                <w:szCs w:val="22"/>
                <w:lang w:val="en-US"/>
              </w:rPr>
            </w:pPr>
          </w:p>
          <w:p w:rsidR="003345DD" w:rsidRPr="003345DD" w:rsidRDefault="003345DD" w:rsidP="003345DD">
            <w:pPr>
              <w:pStyle w:val="ListParagraph"/>
              <w:numPr>
                <w:ilvl w:val="0"/>
                <w:numId w:val="14"/>
              </w:numPr>
              <w:rPr>
                <w:rFonts w:cs="Arial"/>
                <w:sz w:val="22"/>
                <w:szCs w:val="22"/>
                <w:lang w:val="en-US"/>
              </w:rPr>
            </w:pPr>
            <w:r>
              <w:rPr>
                <w:rFonts w:cs="Arial"/>
                <w:sz w:val="22"/>
                <w:szCs w:val="22"/>
              </w:rPr>
              <w:lastRenderedPageBreak/>
              <w:t>s</w:t>
            </w:r>
            <w:r w:rsidR="006C0584" w:rsidRPr="0020468E">
              <w:rPr>
                <w:rFonts w:cs="Arial"/>
                <w:sz w:val="22"/>
                <w:szCs w:val="22"/>
              </w:rPr>
              <w:t xml:space="preserve">et levels of employer contribution that will </w:t>
            </w:r>
            <w:r w:rsidR="006C0584" w:rsidRPr="0020468E">
              <w:rPr>
                <w:rFonts w:cs="Arial"/>
                <w:bCs/>
                <w:sz w:val="22"/>
                <w:szCs w:val="22"/>
              </w:rPr>
              <w:t xml:space="preserve">build up a fund of assets that will be sufficient to meet all future benefit payments </w:t>
            </w:r>
            <w:r w:rsidR="006C0584" w:rsidRPr="0020468E">
              <w:rPr>
                <w:rFonts w:cs="Arial"/>
                <w:sz w:val="22"/>
                <w:szCs w:val="22"/>
              </w:rPr>
              <w:t>from the Fund.</w:t>
            </w:r>
          </w:p>
          <w:p w:rsidR="003345DD" w:rsidRPr="003345DD" w:rsidRDefault="003345DD" w:rsidP="003345DD">
            <w:pPr>
              <w:pStyle w:val="ListParagraph"/>
              <w:rPr>
                <w:rFonts w:cs="Arial"/>
                <w:sz w:val="22"/>
                <w:szCs w:val="22"/>
                <w:lang w:val="en-US"/>
              </w:rPr>
            </w:pPr>
          </w:p>
          <w:p w:rsidR="0020468E" w:rsidRPr="003345DD" w:rsidRDefault="003345DD" w:rsidP="003345DD">
            <w:pPr>
              <w:pStyle w:val="ListParagraph"/>
              <w:numPr>
                <w:ilvl w:val="0"/>
                <w:numId w:val="14"/>
              </w:numPr>
              <w:rPr>
                <w:rFonts w:cs="Arial"/>
                <w:sz w:val="22"/>
                <w:szCs w:val="22"/>
                <w:lang w:val="en-US"/>
              </w:rPr>
            </w:pPr>
            <w:r>
              <w:rPr>
                <w:rFonts w:eastAsia="+mn-ea" w:cs="Arial"/>
                <w:sz w:val="22"/>
                <w:szCs w:val="22"/>
              </w:rPr>
              <w:t xml:space="preserve">build </w:t>
            </w:r>
            <w:r w:rsidR="0020468E" w:rsidRPr="003345DD">
              <w:rPr>
                <w:rFonts w:eastAsia="+mn-ea" w:cs="Arial"/>
                <w:sz w:val="22"/>
                <w:szCs w:val="22"/>
                <w:lang w:val="x-none"/>
              </w:rPr>
              <w:t xml:space="preserve">up the required assets in such a way that </w:t>
            </w:r>
            <w:r w:rsidR="0020468E" w:rsidRPr="003345DD">
              <w:rPr>
                <w:rFonts w:eastAsia="+mn-ea" w:cs="Arial"/>
                <w:sz w:val="22"/>
                <w:szCs w:val="22"/>
              </w:rPr>
              <w:t>ensure</w:t>
            </w:r>
            <w:r w:rsidR="0020468E" w:rsidRPr="003345DD">
              <w:rPr>
                <w:rFonts w:eastAsia="+mn-ea" w:cs="Arial"/>
                <w:sz w:val="22"/>
                <w:szCs w:val="22"/>
                <w:lang w:val="x-none"/>
              </w:rPr>
              <w:t xml:space="preserve"> levels of </w:t>
            </w:r>
            <w:r w:rsidR="0020468E" w:rsidRPr="003345DD">
              <w:rPr>
                <w:rFonts w:eastAsia="+mn-ea" w:cs="Arial"/>
                <w:bCs/>
                <w:sz w:val="22"/>
                <w:szCs w:val="22"/>
                <w:lang w:val="x-none"/>
              </w:rPr>
              <w:t>employer contribution that are stable</w:t>
            </w:r>
            <w:r w:rsidR="0020468E" w:rsidRPr="003345DD">
              <w:rPr>
                <w:rFonts w:eastAsia="+mn-ea" w:cs="Arial"/>
                <w:bCs/>
                <w:sz w:val="22"/>
                <w:szCs w:val="22"/>
              </w:rPr>
              <w:t>.</w:t>
            </w:r>
          </w:p>
          <w:p w:rsidR="003345DD" w:rsidRDefault="003F50B3" w:rsidP="003F50B3">
            <w:pPr>
              <w:spacing w:after="0"/>
              <w:ind w:right="3"/>
              <w:rPr>
                <w:rFonts w:cs="Arial"/>
                <w:sz w:val="22"/>
                <w:lang w:eastAsia="en-GB"/>
              </w:rPr>
            </w:pPr>
            <w:r w:rsidRPr="00C312C6">
              <w:rPr>
                <w:rFonts w:cs="Arial"/>
                <w:sz w:val="22"/>
                <w:lang w:eastAsia="en-GB"/>
              </w:rPr>
              <w:t xml:space="preserve">The </w:t>
            </w:r>
            <w:r>
              <w:rPr>
                <w:rFonts w:cs="Arial"/>
                <w:sz w:val="22"/>
                <w:lang w:eastAsia="en-GB"/>
              </w:rPr>
              <w:t>latest Triennial Valuation was undertaken at 31 March</w:t>
            </w:r>
            <w:r w:rsidRPr="00C312C6">
              <w:rPr>
                <w:rFonts w:cs="Arial"/>
                <w:sz w:val="22"/>
                <w:lang w:eastAsia="en-GB"/>
              </w:rPr>
              <w:t xml:space="preserve"> 2017</w:t>
            </w:r>
            <w:r>
              <w:rPr>
                <w:rFonts w:cs="Arial"/>
                <w:sz w:val="22"/>
                <w:lang w:eastAsia="en-GB"/>
              </w:rPr>
              <w:t>.</w:t>
            </w:r>
            <w:r w:rsidRPr="00C312C6">
              <w:rPr>
                <w:rFonts w:cs="Arial"/>
                <w:sz w:val="22"/>
                <w:lang w:eastAsia="en-GB"/>
              </w:rPr>
              <w:t xml:space="preserve"> </w:t>
            </w:r>
            <w:r>
              <w:rPr>
                <w:rFonts w:eastAsia="MS Mincho" w:cs="Arial"/>
                <w:sz w:val="22"/>
                <w:szCs w:val="22"/>
                <w:lang w:eastAsia="en-GB"/>
              </w:rPr>
              <w:t xml:space="preserve">  </w:t>
            </w:r>
            <w:r w:rsidRPr="00C312C6">
              <w:rPr>
                <w:rFonts w:cs="Arial"/>
                <w:sz w:val="22"/>
                <w:lang w:eastAsia="en-GB"/>
              </w:rPr>
              <w:t>The outcome of the 2017 Valuation was a funding level of 114%</w:t>
            </w:r>
            <w:r w:rsidR="003345DD">
              <w:rPr>
                <w:rFonts w:cs="Arial"/>
                <w:sz w:val="22"/>
                <w:lang w:eastAsia="en-GB"/>
              </w:rPr>
              <w:t>,</w:t>
            </w:r>
            <w:r w:rsidRPr="00C312C6">
              <w:rPr>
                <w:rFonts w:cs="Arial"/>
                <w:sz w:val="22"/>
                <w:lang w:eastAsia="en-GB"/>
              </w:rPr>
              <w:t xml:space="preserve"> an improvement in the position assessed at 2014 of 101%.  The funding position equates to a surplus of over £80m</w:t>
            </w:r>
            <w:r>
              <w:rPr>
                <w:rFonts w:cs="Arial"/>
                <w:sz w:val="22"/>
                <w:lang w:eastAsia="en-GB"/>
              </w:rPr>
              <w:t xml:space="preserve"> demonstrating that the fund is meeting its primary objective.   </w:t>
            </w:r>
          </w:p>
          <w:p w:rsidR="003345DD" w:rsidRDefault="003345DD" w:rsidP="003F50B3">
            <w:pPr>
              <w:spacing w:after="0"/>
              <w:ind w:right="3"/>
              <w:rPr>
                <w:rFonts w:cs="Arial"/>
                <w:sz w:val="22"/>
                <w:lang w:eastAsia="en-GB"/>
              </w:rPr>
            </w:pPr>
          </w:p>
          <w:p w:rsidR="003F50B3" w:rsidRDefault="003F50B3" w:rsidP="003F50B3">
            <w:pPr>
              <w:spacing w:after="0"/>
              <w:ind w:right="3"/>
              <w:rPr>
                <w:rFonts w:cs="Arial"/>
                <w:sz w:val="22"/>
                <w:lang w:eastAsia="en-GB"/>
              </w:rPr>
            </w:pPr>
            <w:r>
              <w:rPr>
                <w:rFonts w:cs="Arial"/>
                <w:sz w:val="22"/>
                <w:lang w:eastAsia="en-GB"/>
              </w:rPr>
              <w:t xml:space="preserve">On the advice of the actuary </w:t>
            </w:r>
            <w:r w:rsidRPr="00C312C6">
              <w:rPr>
                <w:rFonts w:cs="Arial"/>
                <w:sz w:val="22"/>
                <w:lang w:eastAsia="en-GB"/>
              </w:rPr>
              <w:t>this surplus</w:t>
            </w:r>
            <w:r>
              <w:rPr>
                <w:rFonts w:cs="Arial"/>
                <w:sz w:val="22"/>
                <w:lang w:eastAsia="en-GB"/>
              </w:rPr>
              <w:t xml:space="preserve"> has been </w:t>
            </w:r>
            <w:r w:rsidRPr="00C312C6">
              <w:rPr>
                <w:rFonts w:cs="Arial"/>
                <w:sz w:val="22"/>
                <w:lang w:eastAsia="en-GB"/>
              </w:rPr>
              <w:t>used over time to offset increases in the primary employer’s contribution rate of 20.6%.  As a result there was no change in the overall Fund common pool employer contribution rate which remained at 18%</w:t>
            </w:r>
            <w:r w:rsidR="003345DD">
              <w:rPr>
                <w:rFonts w:cs="Arial"/>
                <w:sz w:val="22"/>
                <w:lang w:eastAsia="en-GB"/>
              </w:rPr>
              <w:t xml:space="preserve"> one of the lowest employer rates in the LGPS in Scotland</w:t>
            </w:r>
            <w:r>
              <w:rPr>
                <w:rFonts w:cs="Arial"/>
                <w:sz w:val="22"/>
                <w:lang w:eastAsia="en-GB"/>
              </w:rPr>
              <w:t>.</w:t>
            </w:r>
          </w:p>
          <w:p w:rsidR="003F50B3" w:rsidRPr="003F50B3" w:rsidRDefault="003F50B3" w:rsidP="003F50B3">
            <w:pPr>
              <w:spacing w:after="0"/>
              <w:ind w:right="3"/>
              <w:rPr>
                <w:rFonts w:eastAsia="MS Mincho" w:cs="Arial"/>
                <w:sz w:val="22"/>
                <w:szCs w:val="22"/>
                <w:lang w:eastAsia="en-GB"/>
              </w:rPr>
            </w:pPr>
          </w:p>
          <w:p w:rsidR="003345DD" w:rsidRDefault="00C312C6" w:rsidP="00C312C6">
            <w:pPr>
              <w:spacing w:after="0"/>
              <w:rPr>
                <w:rFonts w:cs="Arial"/>
                <w:sz w:val="22"/>
                <w:szCs w:val="22"/>
                <w:lang w:eastAsia="en-GB"/>
              </w:rPr>
            </w:pPr>
            <w:r w:rsidRPr="00986BAB">
              <w:rPr>
                <w:rFonts w:cs="Arial"/>
                <w:sz w:val="22"/>
                <w:szCs w:val="22"/>
                <w:lang w:eastAsia="en-GB"/>
              </w:rPr>
              <w:t>At 31 March 2018 the fund had £684.6m of assets under management, an increase of £30.2m (5.6%) on the position</w:t>
            </w:r>
            <w:r w:rsidR="00986BAB" w:rsidRPr="00986BAB">
              <w:rPr>
                <w:rFonts w:cs="Arial"/>
                <w:sz w:val="22"/>
                <w:szCs w:val="22"/>
                <w:lang w:eastAsia="en-GB"/>
              </w:rPr>
              <w:t xml:space="preserve"> as at 31 M</w:t>
            </w:r>
            <w:r w:rsidRPr="00986BAB">
              <w:rPr>
                <w:rFonts w:cs="Arial"/>
                <w:sz w:val="22"/>
                <w:szCs w:val="22"/>
                <w:lang w:eastAsia="en-GB"/>
              </w:rPr>
              <w:t xml:space="preserve">arch 2017.  </w:t>
            </w:r>
          </w:p>
          <w:p w:rsidR="003345DD" w:rsidRDefault="003345DD" w:rsidP="00C312C6">
            <w:pPr>
              <w:spacing w:after="0"/>
              <w:rPr>
                <w:rFonts w:cs="Arial"/>
                <w:sz w:val="22"/>
                <w:szCs w:val="22"/>
                <w:lang w:eastAsia="en-GB"/>
              </w:rPr>
            </w:pPr>
          </w:p>
          <w:p w:rsidR="00C312C6" w:rsidRPr="00986BAB" w:rsidRDefault="00C312C6" w:rsidP="00C312C6">
            <w:pPr>
              <w:spacing w:after="0"/>
              <w:rPr>
                <w:rFonts w:cs="Arial"/>
                <w:sz w:val="22"/>
                <w:szCs w:val="22"/>
                <w:lang w:eastAsia="en-GB"/>
              </w:rPr>
            </w:pPr>
            <w:r w:rsidRPr="00986BAB">
              <w:rPr>
                <w:rFonts w:cs="Arial"/>
                <w:sz w:val="22"/>
                <w:szCs w:val="22"/>
                <w:lang w:eastAsia="en-GB"/>
              </w:rPr>
              <w:t>The fund has delivered strong performance</w:t>
            </w:r>
            <w:r w:rsidR="00986BAB" w:rsidRPr="00986BAB">
              <w:rPr>
                <w:rFonts w:cs="Arial"/>
                <w:sz w:val="22"/>
                <w:szCs w:val="22"/>
                <w:lang w:eastAsia="en-GB"/>
              </w:rPr>
              <w:t xml:space="preserve"> of 8.6% for the rolling 3 year period</w:t>
            </w:r>
            <w:r w:rsidR="003345DD">
              <w:rPr>
                <w:rFonts w:cs="Arial"/>
                <w:sz w:val="22"/>
                <w:szCs w:val="22"/>
                <w:lang w:eastAsia="en-GB"/>
              </w:rPr>
              <w:t xml:space="preserve"> to 31 March 2018</w:t>
            </w:r>
            <w:r w:rsidR="00986BAB" w:rsidRPr="00986BAB">
              <w:rPr>
                <w:rFonts w:cs="Arial"/>
                <w:sz w:val="22"/>
                <w:szCs w:val="22"/>
                <w:lang w:eastAsia="en-GB"/>
              </w:rPr>
              <w:t>.</w:t>
            </w:r>
          </w:p>
          <w:p w:rsidR="00C312C6" w:rsidRDefault="00C312C6" w:rsidP="00C312C6">
            <w:pPr>
              <w:spacing w:after="0"/>
              <w:rPr>
                <w:rFonts w:cs="Arial"/>
                <w:b/>
                <w:color w:val="365F91" w:themeColor="accent1" w:themeShade="BF"/>
                <w:sz w:val="14"/>
                <w:szCs w:val="32"/>
                <w:lang w:eastAsia="en-GB"/>
              </w:rPr>
            </w:pPr>
          </w:p>
          <w:p w:rsidR="00C312C6" w:rsidRDefault="00C312C6" w:rsidP="00E84FCF">
            <w:pPr>
              <w:spacing w:after="0"/>
              <w:ind w:firstLine="720"/>
              <w:rPr>
                <w:rFonts w:cs="Arial"/>
                <w:b/>
                <w:color w:val="365F91" w:themeColor="accent1" w:themeShade="BF"/>
                <w:sz w:val="14"/>
                <w:szCs w:val="32"/>
                <w:lang w:eastAsia="en-GB"/>
              </w:rPr>
            </w:pPr>
          </w:p>
          <w:p w:rsidR="00E84FCF" w:rsidRDefault="00E84FCF" w:rsidP="00E84FCF">
            <w:pPr>
              <w:spacing w:after="0"/>
              <w:ind w:firstLine="720"/>
              <w:rPr>
                <w:rFonts w:cs="Arial"/>
                <w:b/>
                <w:color w:val="365F91" w:themeColor="accent1" w:themeShade="BF"/>
                <w:sz w:val="14"/>
                <w:szCs w:val="32"/>
                <w:lang w:eastAsia="en-GB"/>
              </w:rPr>
            </w:pPr>
          </w:p>
          <w:p w:rsidR="00986BAB" w:rsidRPr="00113F41" w:rsidRDefault="00986BAB" w:rsidP="00986BAB">
            <w:pPr>
              <w:spacing w:after="0"/>
              <w:jc w:val="both"/>
              <w:rPr>
                <w:rFonts w:cs="Arial"/>
                <w:b/>
                <w:sz w:val="28"/>
                <w:szCs w:val="28"/>
                <w:lang w:eastAsia="en-GB"/>
              </w:rPr>
            </w:pPr>
            <w:r w:rsidRPr="00113F41">
              <w:rPr>
                <w:rFonts w:cs="Arial"/>
                <w:b/>
                <w:sz w:val="28"/>
                <w:szCs w:val="28"/>
                <w:lang w:eastAsia="en-GB"/>
              </w:rPr>
              <w:t>Investment Performance</w:t>
            </w:r>
          </w:p>
          <w:p w:rsidR="00986BAB" w:rsidRPr="00C312C6" w:rsidRDefault="00986BAB" w:rsidP="00986BAB">
            <w:pPr>
              <w:spacing w:after="0"/>
              <w:rPr>
                <w:rFonts w:cs="Arial"/>
                <w:b/>
                <w:sz w:val="22"/>
                <w:szCs w:val="22"/>
                <w:highlight w:val="yellow"/>
                <w:lang w:eastAsia="en-GB"/>
              </w:rPr>
            </w:pPr>
          </w:p>
          <w:p w:rsidR="003345DD" w:rsidRDefault="00986BAB" w:rsidP="00986BAB">
            <w:pPr>
              <w:spacing w:after="0"/>
              <w:ind w:right="-23"/>
              <w:jc w:val="both"/>
              <w:rPr>
                <w:rFonts w:cs="Arial"/>
                <w:sz w:val="22"/>
                <w:szCs w:val="22"/>
                <w:lang w:eastAsia="en-GB"/>
              </w:rPr>
            </w:pPr>
            <w:r w:rsidRPr="00C312C6">
              <w:rPr>
                <w:rFonts w:cs="Arial"/>
                <w:sz w:val="22"/>
                <w:szCs w:val="22"/>
                <w:lang w:eastAsia="en-GB"/>
              </w:rPr>
              <w:t xml:space="preserve">The Fund’s performance against benchmark over the past 10 years is highlighted in the chart below. This chart demonstrates that the rolling 3 year annualised relative return (i.e. Fund’s return achieved compared with the benchmark) since 2010 has been positive, and that over the 10 year period there has only been one year of negative returns overall </w:t>
            </w:r>
            <w:r w:rsidR="003345DD">
              <w:rPr>
                <w:rFonts w:cs="Arial"/>
                <w:sz w:val="22"/>
                <w:szCs w:val="22"/>
                <w:lang w:eastAsia="en-GB"/>
              </w:rPr>
              <w:t>for the Fund and that was immediately following</w:t>
            </w:r>
            <w:r w:rsidRPr="00C312C6">
              <w:rPr>
                <w:rFonts w:cs="Arial"/>
                <w:sz w:val="22"/>
                <w:szCs w:val="22"/>
                <w:lang w:eastAsia="en-GB"/>
              </w:rPr>
              <w:t xml:space="preserve"> the financial crisis.  </w:t>
            </w:r>
          </w:p>
          <w:p w:rsidR="003345DD" w:rsidRDefault="003345DD" w:rsidP="00986BAB">
            <w:pPr>
              <w:spacing w:after="0"/>
              <w:ind w:right="-23"/>
              <w:jc w:val="both"/>
              <w:rPr>
                <w:rFonts w:cs="Arial"/>
                <w:sz w:val="22"/>
                <w:szCs w:val="22"/>
                <w:lang w:eastAsia="en-GB"/>
              </w:rPr>
            </w:pPr>
          </w:p>
          <w:p w:rsidR="00986BAB" w:rsidRPr="00C312C6" w:rsidRDefault="00986BAB" w:rsidP="00986BAB">
            <w:pPr>
              <w:spacing w:after="0"/>
              <w:ind w:right="-23"/>
              <w:jc w:val="both"/>
              <w:rPr>
                <w:rFonts w:cs="Arial"/>
                <w:sz w:val="22"/>
                <w:szCs w:val="22"/>
                <w:lang w:eastAsia="en-GB"/>
              </w:rPr>
            </w:pPr>
            <w:r w:rsidRPr="00C312C6">
              <w:rPr>
                <w:rFonts w:cs="Arial"/>
                <w:sz w:val="22"/>
                <w:szCs w:val="22"/>
                <w:lang w:eastAsia="en-GB"/>
              </w:rPr>
              <w:t>On average the fund has returned relative out performance against bench mark of 0.66% per annum over the last 10 years.</w:t>
            </w:r>
          </w:p>
          <w:p w:rsidR="00986BAB" w:rsidRPr="00C312C6" w:rsidRDefault="00986BAB" w:rsidP="00986BAB">
            <w:pPr>
              <w:spacing w:after="0"/>
              <w:ind w:right="-23"/>
              <w:jc w:val="both"/>
              <w:rPr>
                <w:rFonts w:cs="Arial"/>
                <w:sz w:val="22"/>
                <w:szCs w:val="22"/>
                <w:lang w:eastAsia="en-GB"/>
              </w:rPr>
            </w:pPr>
            <w:r w:rsidRPr="00C312C6">
              <w:rPr>
                <w:rFonts w:ascii="Times New Roman" w:hAnsi="Times New Roman"/>
                <w:noProof/>
                <w:sz w:val="20"/>
                <w:lang w:eastAsia="en-GB"/>
              </w:rPr>
              <w:drawing>
                <wp:inline distT="0" distB="0" distL="0" distR="0" wp14:anchorId="36E1ADD4" wp14:editId="0AD66B45">
                  <wp:extent cx="5943600" cy="3429635"/>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86BAB" w:rsidRPr="00C312C6" w:rsidRDefault="00986BAB" w:rsidP="00986BAB">
            <w:pPr>
              <w:spacing w:after="0"/>
              <w:ind w:right="-23"/>
              <w:jc w:val="both"/>
              <w:rPr>
                <w:rFonts w:cs="Arial"/>
                <w:sz w:val="22"/>
                <w:szCs w:val="22"/>
                <w:lang w:eastAsia="en-GB"/>
              </w:rPr>
            </w:pPr>
          </w:p>
          <w:p w:rsidR="00986BAB" w:rsidRDefault="00986BAB" w:rsidP="00986BAB">
            <w:pPr>
              <w:spacing w:after="0"/>
              <w:ind w:right="-23"/>
              <w:jc w:val="both"/>
              <w:rPr>
                <w:rFonts w:cs="Arial"/>
                <w:sz w:val="22"/>
                <w:szCs w:val="22"/>
                <w:lang w:eastAsia="en-GB"/>
              </w:rPr>
            </w:pPr>
            <w:r w:rsidRPr="00C312C6">
              <w:rPr>
                <w:rFonts w:cs="Arial"/>
                <w:sz w:val="22"/>
                <w:szCs w:val="22"/>
                <w:lang w:eastAsia="en-GB"/>
              </w:rPr>
              <w:t>The Fund achieved these favourable returns in 2017/18, with all Fund Managers producing a positive return.  Global equities provided the highest ou</w:t>
            </w:r>
            <w:r>
              <w:rPr>
                <w:rFonts w:cs="Arial"/>
                <w:sz w:val="22"/>
                <w:szCs w:val="22"/>
                <w:lang w:eastAsia="en-GB"/>
              </w:rPr>
              <w:t>t performance against benchmark</w:t>
            </w:r>
            <w:r w:rsidRPr="00C312C6">
              <w:rPr>
                <w:rFonts w:cs="Arial"/>
                <w:sz w:val="22"/>
                <w:szCs w:val="22"/>
                <w:lang w:eastAsia="en-GB"/>
              </w:rPr>
              <w:t>.  Relative out performance of 1.4% was achieved for the year against the benchmark of 7.2%</w:t>
            </w:r>
            <w:r w:rsidR="00FA6458">
              <w:rPr>
                <w:rFonts w:cs="Arial"/>
                <w:sz w:val="22"/>
                <w:szCs w:val="22"/>
                <w:lang w:eastAsia="en-GB"/>
              </w:rPr>
              <w:t>.</w:t>
            </w:r>
          </w:p>
          <w:p w:rsidR="00FA6458" w:rsidRDefault="00FA6458" w:rsidP="00986BAB">
            <w:pPr>
              <w:spacing w:after="0"/>
              <w:ind w:right="-23"/>
              <w:jc w:val="both"/>
              <w:rPr>
                <w:rFonts w:cs="Arial"/>
                <w:sz w:val="22"/>
                <w:szCs w:val="22"/>
                <w:lang w:eastAsia="en-GB"/>
              </w:rPr>
            </w:pPr>
          </w:p>
          <w:p w:rsidR="00FA6458" w:rsidRPr="00C312C6" w:rsidRDefault="00FA6458" w:rsidP="00986BAB">
            <w:pPr>
              <w:spacing w:after="0"/>
              <w:ind w:right="-23"/>
              <w:jc w:val="both"/>
              <w:rPr>
                <w:rFonts w:cs="Arial"/>
                <w:sz w:val="22"/>
                <w:szCs w:val="22"/>
                <w:lang w:eastAsia="en-GB"/>
              </w:rPr>
            </w:pPr>
            <w:r>
              <w:rPr>
                <w:rFonts w:cs="Arial"/>
                <w:sz w:val="22"/>
                <w:szCs w:val="22"/>
                <w:lang w:eastAsia="en-GB"/>
              </w:rPr>
              <w:t>Over the last 10 years the net asset</w:t>
            </w:r>
            <w:r w:rsidR="001372D1">
              <w:rPr>
                <w:rFonts w:cs="Arial"/>
                <w:sz w:val="22"/>
                <w:szCs w:val="22"/>
                <w:lang w:eastAsia="en-GB"/>
              </w:rPr>
              <w:t>s</w:t>
            </w:r>
            <w:r>
              <w:rPr>
                <w:rFonts w:cs="Arial"/>
                <w:sz w:val="22"/>
                <w:szCs w:val="22"/>
                <w:lang w:eastAsia="en-GB"/>
              </w:rPr>
              <w:t xml:space="preserve"> of the fund have increased by 133%.</w:t>
            </w:r>
          </w:p>
          <w:p w:rsidR="00C312C6" w:rsidRDefault="00C312C6" w:rsidP="00C312C6">
            <w:pPr>
              <w:spacing w:after="0"/>
              <w:rPr>
                <w:rFonts w:cs="Arial"/>
                <w:b/>
                <w:color w:val="365F91" w:themeColor="accent1" w:themeShade="BF"/>
                <w:sz w:val="14"/>
                <w:szCs w:val="32"/>
                <w:lang w:eastAsia="en-GB"/>
              </w:rPr>
            </w:pPr>
          </w:p>
          <w:p w:rsidR="00C312C6" w:rsidRDefault="00C312C6" w:rsidP="00C312C6">
            <w:pPr>
              <w:tabs>
                <w:tab w:val="left" w:pos="3686"/>
              </w:tabs>
              <w:spacing w:after="0"/>
              <w:rPr>
                <w:rFonts w:cs="Arial"/>
                <w:b/>
                <w:color w:val="993366"/>
                <w:sz w:val="24"/>
                <w:szCs w:val="32"/>
                <w:lang w:eastAsia="en-GB"/>
              </w:rPr>
            </w:pPr>
          </w:p>
          <w:p w:rsidR="003345DD" w:rsidRPr="00113F41" w:rsidRDefault="003345DD" w:rsidP="00C312C6">
            <w:pPr>
              <w:tabs>
                <w:tab w:val="left" w:pos="3686"/>
              </w:tabs>
              <w:spacing w:after="0"/>
              <w:rPr>
                <w:rFonts w:cs="Arial"/>
                <w:b/>
                <w:sz w:val="24"/>
                <w:szCs w:val="32"/>
                <w:lang w:eastAsia="en-GB"/>
              </w:rPr>
            </w:pPr>
            <w:r w:rsidRPr="00113F41">
              <w:rPr>
                <w:rFonts w:cs="Arial"/>
                <w:b/>
                <w:sz w:val="24"/>
                <w:szCs w:val="32"/>
                <w:lang w:eastAsia="en-GB"/>
              </w:rPr>
              <w:t>Asset Diversification</w:t>
            </w:r>
          </w:p>
          <w:p w:rsidR="003345DD" w:rsidRDefault="003345DD" w:rsidP="00C312C6">
            <w:pPr>
              <w:tabs>
                <w:tab w:val="left" w:pos="3686"/>
              </w:tabs>
              <w:spacing w:after="0"/>
              <w:rPr>
                <w:rFonts w:cs="Arial"/>
                <w:b/>
                <w:color w:val="993366"/>
                <w:sz w:val="24"/>
                <w:szCs w:val="32"/>
                <w:lang w:eastAsia="en-GB"/>
              </w:rPr>
            </w:pPr>
          </w:p>
          <w:p w:rsidR="003345DD" w:rsidRPr="00717180" w:rsidRDefault="003345DD" w:rsidP="00C312C6">
            <w:pPr>
              <w:tabs>
                <w:tab w:val="left" w:pos="3686"/>
              </w:tabs>
              <w:spacing w:after="0"/>
              <w:rPr>
                <w:rFonts w:cs="Arial"/>
                <w:sz w:val="24"/>
                <w:szCs w:val="32"/>
                <w:lang w:eastAsia="en-GB"/>
              </w:rPr>
            </w:pPr>
            <w:r w:rsidRPr="00717180">
              <w:rPr>
                <w:rFonts w:cs="Arial"/>
                <w:sz w:val="24"/>
                <w:szCs w:val="32"/>
                <w:lang w:eastAsia="en-GB"/>
              </w:rPr>
              <w:t xml:space="preserve">The fund is well diversified across a range of assets classes including </w:t>
            </w:r>
            <w:r w:rsidR="00717180">
              <w:rPr>
                <w:rFonts w:cs="Arial"/>
                <w:sz w:val="24"/>
                <w:szCs w:val="32"/>
                <w:lang w:eastAsia="en-GB"/>
              </w:rPr>
              <w:t xml:space="preserve">global and UK </w:t>
            </w:r>
            <w:r w:rsidRPr="00717180">
              <w:rPr>
                <w:rFonts w:cs="Arial"/>
                <w:sz w:val="24"/>
                <w:szCs w:val="32"/>
                <w:lang w:eastAsia="en-GB"/>
              </w:rPr>
              <w:t>equit</w:t>
            </w:r>
            <w:r w:rsidR="00717180">
              <w:rPr>
                <w:rFonts w:cs="Arial"/>
                <w:sz w:val="24"/>
                <w:szCs w:val="32"/>
                <w:lang w:eastAsia="en-GB"/>
              </w:rPr>
              <w:t xml:space="preserve">ies, bonds, alternatives, direct </w:t>
            </w:r>
            <w:r w:rsidRPr="00717180">
              <w:rPr>
                <w:rFonts w:cs="Arial"/>
                <w:sz w:val="24"/>
                <w:szCs w:val="32"/>
                <w:lang w:eastAsia="en-GB"/>
              </w:rPr>
              <w:t>lending, private credit, property and infra</w:t>
            </w:r>
            <w:r w:rsidR="00717180" w:rsidRPr="00717180">
              <w:rPr>
                <w:rFonts w:cs="Arial"/>
                <w:sz w:val="24"/>
                <w:szCs w:val="32"/>
                <w:lang w:eastAsia="en-GB"/>
              </w:rPr>
              <w:t>stru</w:t>
            </w:r>
            <w:r w:rsidRPr="00717180">
              <w:rPr>
                <w:rFonts w:cs="Arial"/>
                <w:sz w:val="24"/>
                <w:szCs w:val="32"/>
                <w:lang w:eastAsia="en-GB"/>
              </w:rPr>
              <w:t xml:space="preserve">cture.  This latter asset class is accessed in collaboration with Lothian Pension fund. </w:t>
            </w:r>
            <w:r w:rsidR="00717180" w:rsidRPr="00717180">
              <w:rPr>
                <w:rFonts w:cs="Arial"/>
                <w:sz w:val="24"/>
                <w:szCs w:val="32"/>
                <w:lang w:eastAsia="en-GB"/>
              </w:rPr>
              <w:t>The F</w:t>
            </w:r>
            <w:r w:rsidRPr="00717180">
              <w:rPr>
                <w:rFonts w:cs="Arial"/>
                <w:sz w:val="24"/>
                <w:szCs w:val="32"/>
                <w:lang w:eastAsia="en-GB"/>
              </w:rPr>
              <w:t xml:space="preserve">und is </w:t>
            </w:r>
            <w:r w:rsidR="00717180">
              <w:rPr>
                <w:rFonts w:cs="Arial"/>
                <w:sz w:val="24"/>
                <w:szCs w:val="32"/>
                <w:lang w:eastAsia="en-GB"/>
              </w:rPr>
              <w:t xml:space="preserve">now </w:t>
            </w:r>
            <w:r w:rsidRPr="00717180">
              <w:rPr>
                <w:rFonts w:cs="Arial"/>
                <w:sz w:val="24"/>
                <w:szCs w:val="32"/>
                <w:lang w:eastAsia="en-GB"/>
              </w:rPr>
              <w:t>well positioned to withstand flu</w:t>
            </w:r>
            <w:r w:rsidR="00717180" w:rsidRPr="00717180">
              <w:rPr>
                <w:rFonts w:cs="Arial"/>
                <w:sz w:val="24"/>
                <w:szCs w:val="32"/>
                <w:lang w:eastAsia="en-GB"/>
              </w:rPr>
              <w:t xml:space="preserve">ctuations in financial markets. </w:t>
            </w:r>
          </w:p>
          <w:p w:rsidR="00C312C6" w:rsidRDefault="00C312C6" w:rsidP="00C312C6">
            <w:pPr>
              <w:tabs>
                <w:tab w:val="left" w:pos="3686"/>
              </w:tabs>
              <w:spacing w:after="0"/>
              <w:rPr>
                <w:rFonts w:cs="Arial"/>
                <w:b/>
                <w:color w:val="993366"/>
                <w:sz w:val="24"/>
                <w:szCs w:val="32"/>
                <w:lang w:eastAsia="en-GB"/>
              </w:rPr>
            </w:pPr>
          </w:p>
          <w:p w:rsidR="00717180" w:rsidRPr="00C312C6" w:rsidRDefault="00717180" w:rsidP="00C312C6">
            <w:pPr>
              <w:tabs>
                <w:tab w:val="left" w:pos="3686"/>
              </w:tabs>
              <w:spacing w:after="0"/>
              <w:rPr>
                <w:rFonts w:cs="Arial"/>
                <w:b/>
                <w:color w:val="993366"/>
                <w:sz w:val="24"/>
                <w:szCs w:val="32"/>
                <w:lang w:eastAsia="en-GB"/>
              </w:rPr>
            </w:pPr>
          </w:p>
          <w:p w:rsidR="00C312C6" w:rsidRPr="00113F41" w:rsidRDefault="00C312C6" w:rsidP="00C312C6">
            <w:pPr>
              <w:tabs>
                <w:tab w:val="left" w:pos="3686"/>
              </w:tabs>
              <w:spacing w:after="0"/>
              <w:rPr>
                <w:rFonts w:cs="Arial"/>
                <w:b/>
                <w:sz w:val="24"/>
                <w:szCs w:val="32"/>
                <w:lang w:eastAsia="en-GB"/>
              </w:rPr>
            </w:pPr>
            <w:r w:rsidRPr="00113F41">
              <w:rPr>
                <w:rFonts w:cs="Arial"/>
                <w:b/>
                <w:sz w:val="24"/>
                <w:szCs w:val="32"/>
                <w:lang w:eastAsia="en-GB"/>
              </w:rPr>
              <w:t xml:space="preserve">Overview of Fund Membership </w:t>
            </w:r>
          </w:p>
          <w:p w:rsidR="00C312C6" w:rsidRPr="00C312C6" w:rsidRDefault="00C312C6" w:rsidP="00C312C6">
            <w:pPr>
              <w:spacing w:after="0"/>
              <w:jc w:val="both"/>
              <w:rPr>
                <w:rFonts w:cs="Arial"/>
                <w:b/>
                <w:sz w:val="22"/>
                <w:szCs w:val="22"/>
                <w:highlight w:val="yellow"/>
                <w:lang w:eastAsia="en-GB"/>
              </w:rPr>
            </w:pPr>
            <w:r w:rsidRPr="00C312C6">
              <w:rPr>
                <w:rFonts w:cs="Arial"/>
                <w:sz w:val="22"/>
                <w:szCs w:val="22"/>
                <w:lang w:eastAsia="en-GB"/>
              </w:rPr>
              <w:br/>
              <w:t>Current membership of the Fund is 10,667 of which 4,409 are actively contributing and 3,507 are in receipt of pension benefits.  The following chart summarises the trends in membership:</w:t>
            </w:r>
          </w:p>
          <w:p w:rsidR="00C312C6" w:rsidRPr="00C312C6" w:rsidRDefault="00C312C6" w:rsidP="00C312C6">
            <w:pPr>
              <w:spacing w:after="0"/>
              <w:jc w:val="both"/>
              <w:rPr>
                <w:rFonts w:ascii="Times New Roman" w:hAnsi="Times New Roman"/>
                <w:noProof/>
                <w:sz w:val="20"/>
                <w:lang w:eastAsia="en-GB"/>
              </w:rPr>
            </w:pPr>
          </w:p>
          <w:p w:rsidR="00C312C6" w:rsidRPr="00C312C6" w:rsidRDefault="00C312C6" w:rsidP="00C312C6">
            <w:pPr>
              <w:spacing w:after="0"/>
              <w:jc w:val="both"/>
              <w:rPr>
                <w:rFonts w:ascii="Times New Roman" w:hAnsi="Times New Roman"/>
                <w:noProof/>
                <w:sz w:val="20"/>
                <w:lang w:eastAsia="en-GB"/>
              </w:rPr>
            </w:pPr>
            <w:r w:rsidRPr="00C312C6">
              <w:rPr>
                <w:rFonts w:ascii="Times New Roman" w:hAnsi="Times New Roman"/>
                <w:noProof/>
                <w:sz w:val="20"/>
                <w:lang w:eastAsia="en-GB"/>
              </w:rPr>
              <w:drawing>
                <wp:inline distT="0" distB="0" distL="0" distR="0" wp14:anchorId="5EDDF3F5" wp14:editId="03E4D932">
                  <wp:extent cx="5943600" cy="341757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312C6" w:rsidRPr="00C312C6" w:rsidRDefault="00C312C6" w:rsidP="00C312C6">
            <w:pPr>
              <w:spacing w:after="0"/>
              <w:rPr>
                <w:rFonts w:cs="Arial"/>
                <w:b/>
                <w:sz w:val="22"/>
                <w:szCs w:val="22"/>
                <w:highlight w:val="yellow"/>
                <w:lang w:eastAsia="en-GB"/>
              </w:rPr>
            </w:pPr>
            <w:r w:rsidRPr="00C312C6">
              <w:rPr>
                <w:rFonts w:cs="Arial"/>
                <w:b/>
                <w:sz w:val="22"/>
                <w:szCs w:val="22"/>
                <w:highlight w:val="yellow"/>
                <w:lang w:eastAsia="en-GB"/>
              </w:rPr>
              <w:br w:type="page"/>
            </w:r>
          </w:p>
          <w:p w:rsidR="00C312C6" w:rsidRPr="00C312C6" w:rsidRDefault="00C312C6" w:rsidP="00C312C6">
            <w:pPr>
              <w:spacing w:after="0"/>
              <w:jc w:val="both"/>
              <w:rPr>
                <w:rFonts w:cs="Arial"/>
                <w:b/>
                <w:sz w:val="22"/>
                <w:szCs w:val="22"/>
                <w:highlight w:val="yellow"/>
                <w:lang w:eastAsia="en-GB"/>
              </w:rPr>
            </w:pPr>
          </w:p>
          <w:p w:rsidR="00C312C6" w:rsidRPr="00C312C6" w:rsidRDefault="00C312C6" w:rsidP="00C312C6">
            <w:pPr>
              <w:tabs>
                <w:tab w:val="left" w:pos="3686"/>
              </w:tabs>
              <w:spacing w:after="0"/>
              <w:rPr>
                <w:rFonts w:cs="Arial"/>
                <w:sz w:val="22"/>
                <w:szCs w:val="32"/>
                <w:lang w:eastAsia="en-GB"/>
              </w:rPr>
            </w:pPr>
            <w:r w:rsidRPr="00C312C6">
              <w:rPr>
                <w:rFonts w:cs="Arial"/>
                <w:sz w:val="22"/>
                <w:szCs w:val="32"/>
                <w:lang w:eastAsia="en-GB"/>
              </w:rPr>
              <w:t>Since 2013 the total membership has increased by 1,356 members (a 15% increase overall).</w:t>
            </w:r>
            <w:r w:rsidR="00717180">
              <w:rPr>
                <w:rFonts w:cs="Arial"/>
                <w:sz w:val="22"/>
                <w:szCs w:val="32"/>
                <w:lang w:eastAsia="en-GB"/>
              </w:rPr>
              <w:t xml:space="preserve">  </w:t>
            </w:r>
            <w:r w:rsidRPr="00C312C6">
              <w:rPr>
                <w:rFonts w:cs="Arial"/>
                <w:sz w:val="22"/>
                <w:szCs w:val="32"/>
                <w:lang w:eastAsia="en-GB"/>
              </w:rPr>
              <w:t xml:space="preserve">  During this period the number of pensioners and their dependants has increased by 23%, and the number of active contributing members has increased by 3%.  This presents a challenge to the Fund to ensure that it manages its future cash flows effectively as the fund matures.  This was included as part of the considerations when undertaking the full investment review.</w:t>
            </w:r>
          </w:p>
          <w:p w:rsidR="00C312C6" w:rsidRPr="00C312C6" w:rsidRDefault="00C312C6" w:rsidP="00C312C6">
            <w:pPr>
              <w:tabs>
                <w:tab w:val="left" w:pos="3686"/>
              </w:tabs>
              <w:spacing w:after="0"/>
              <w:rPr>
                <w:rFonts w:cs="Arial"/>
                <w:sz w:val="22"/>
                <w:szCs w:val="32"/>
                <w:lang w:eastAsia="en-GB"/>
              </w:rPr>
            </w:pPr>
          </w:p>
          <w:p w:rsidR="00C312C6" w:rsidRPr="00C312C6" w:rsidRDefault="00C312C6" w:rsidP="00C312C6">
            <w:pPr>
              <w:tabs>
                <w:tab w:val="left" w:pos="3686"/>
              </w:tabs>
              <w:spacing w:after="0"/>
              <w:rPr>
                <w:rFonts w:cs="Arial"/>
                <w:sz w:val="22"/>
                <w:szCs w:val="22"/>
                <w:lang w:eastAsia="en-GB"/>
              </w:rPr>
            </w:pPr>
            <w:r w:rsidRPr="00C312C6">
              <w:rPr>
                <w:rFonts w:cs="Arial"/>
                <w:sz w:val="22"/>
                <w:szCs w:val="22"/>
                <w:lang w:eastAsia="en-GB"/>
              </w:rPr>
              <w:t xml:space="preserve">The strong asset position, along with the 2017 Triennial Valuation of funding levels, </w:t>
            </w:r>
            <w:r w:rsidRPr="00C312C6">
              <w:rPr>
                <w:rFonts w:cs="Arial"/>
                <w:sz w:val="22"/>
                <w:szCs w:val="22"/>
                <w:lang w:eastAsia="en-GB"/>
              </w:rPr>
              <w:lastRenderedPageBreak/>
              <w:t>demonstrates that the Fund is well placed to meet its future pension and other benefit liabilities.</w:t>
            </w:r>
          </w:p>
          <w:p w:rsidR="00C312C6" w:rsidRPr="00C312C6" w:rsidRDefault="00C312C6" w:rsidP="00C312C6">
            <w:pPr>
              <w:tabs>
                <w:tab w:val="left" w:pos="3686"/>
              </w:tabs>
              <w:spacing w:after="0"/>
              <w:rPr>
                <w:rFonts w:cs="Arial"/>
                <w:sz w:val="22"/>
                <w:szCs w:val="22"/>
                <w:lang w:eastAsia="en-GB"/>
              </w:rPr>
            </w:pPr>
          </w:p>
          <w:p w:rsidR="00C312C6" w:rsidRPr="00C312C6" w:rsidRDefault="00C312C6" w:rsidP="00C312C6">
            <w:pPr>
              <w:tabs>
                <w:tab w:val="left" w:pos="3686"/>
              </w:tabs>
              <w:spacing w:after="0"/>
              <w:rPr>
                <w:rFonts w:cs="Arial"/>
                <w:sz w:val="22"/>
                <w:szCs w:val="22"/>
                <w:lang w:eastAsia="en-GB"/>
              </w:rPr>
            </w:pPr>
            <w:r w:rsidRPr="00C312C6">
              <w:rPr>
                <w:rFonts w:cs="Arial"/>
                <w:sz w:val="22"/>
                <w:szCs w:val="22"/>
                <w:lang w:eastAsia="en-GB"/>
              </w:rPr>
              <w:t>Recent changes in the legislation around what pensioners are able to do with their pension benefit entitlements have increased individual freedom</w:t>
            </w:r>
            <w:r w:rsidR="00717180">
              <w:rPr>
                <w:rFonts w:cs="Arial"/>
                <w:sz w:val="22"/>
                <w:szCs w:val="22"/>
                <w:lang w:eastAsia="en-GB"/>
              </w:rPr>
              <w:t>s to withdraw from pension</w:t>
            </w:r>
            <w:r w:rsidRPr="00C312C6">
              <w:rPr>
                <w:rFonts w:cs="Arial"/>
                <w:sz w:val="22"/>
                <w:szCs w:val="22"/>
                <w:lang w:eastAsia="en-GB"/>
              </w:rPr>
              <w:t xml:space="preserve"> Fund</w:t>
            </w:r>
            <w:r w:rsidR="00717180">
              <w:rPr>
                <w:rFonts w:cs="Arial"/>
                <w:sz w:val="22"/>
                <w:szCs w:val="22"/>
                <w:lang w:eastAsia="en-GB"/>
              </w:rPr>
              <w:t>s</w:t>
            </w:r>
            <w:r w:rsidRPr="00C312C6">
              <w:rPr>
                <w:rFonts w:cs="Arial"/>
                <w:sz w:val="22"/>
                <w:szCs w:val="22"/>
                <w:lang w:eastAsia="en-GB"/>
              </w:rPr>
              <w:t xml:space="preserve"> potentially triggering significant transfer movements.  The </w:t>
            </w:r>
            <w:r w:rsidR="00717180">
              <w:rPr>
                <w:rFonts w:cs="Arial"/>
                <w:sz w:val="22"/>
                <w:szCs w:val="22"/>
                <w:lang w:eastAsia="en-GB"/>
              </w:rPr>
              <w:t xml:space="preserve">Scottish Borders </w:t>
            </w:r>
            <w:r w:rsidRPr="00C312C6">
              <w:rPr>
                <w:rFonts w:cs="Arial"/>
                <w:sz w:val="22"/>
                <w:szCs w:val="22"/>
                <w:lang w:eastAsia="en-GB"/>
              </w:rPr>
              <w:t>fund has not however seen any signif</w:t>
            </w:r>
            <w:r w:rsidR="00717180">
              <w:rPr>
                <w:rFonts w:cs="Arial"/>
                <w:sz w:val="22"/>
                <w:szCs w:val="22"/>
                <w:lang w:eastAsia="en-GB"/>
              </w:rPr>
              <w:t xml:space="preserve">icant withdrawals </w:t>
            </w:r>
            <w:r w:rsidRPr="00C312C6">
              <w:rPr>
                <w:rFonts w:cs="Arial"/>
                <w:sz w:val="22"/>
                <w:szCs w:val="22"/>
                <w:lang w:eastAsia="en-GB"/>
              </w:rPr>
              <w:t>as a result of this legislation and continues to monitor this position.</w:t>
            </w:r>
          </w:p>
          <w:p w:rsidR="00C312C6" w:rsidRPr="00C312C6" w:rsidRDefault="00C312C6" w:rsidP="00C312C6">
            <w:pPr>
              <w:tabs>
                <w:tab w:val="left" w:pos="3686"/>
              </w:tabs>
              <w:spacing w:after="0"/>
              <w:rPr>
                <w:rFonts w:cs="Arial"/>
                <w:sz w:val="22"/>
                <w:szCs w:val="22"/>
                <w:lang w:eastAsia="en-GB"/>
              </w:rPr>
            </w:pPr>
          </w:p>
          <w:p w:rsidR="00C312C6" w:rsidRPr="00C312C6" w:rsidRDefault="00C312C6" w:rsidP="00C312C6">
            <w:pPr>
              <w:spacing w:after="0"/>
              <w:rPr>
                <w:rFonts w:cs="Arial"/>
                <w:b/>
                <w:color w:val="365F91" w:themeColor="accent1" w:themeShade="BF"/>
                <w:sz w:val="24"/>
                <w:szCs w:val="32"/>
                <w:lang w:eastAsia="en-GB"/>
              </w:rPr>
            </w:pPr>
            <w:r w:rsidRPr="00C312C6">
              <w:rPr>
                <w:rFonts w:cs="Arial"/>
                <w:b/>
                <w:color w:val="365F91" w:themeColor="accent1" w:themeShade="BF"/>
                <w:sz w:val="24"/>
                <w:szCs w:val="32"/>
                <w:lang w:eastAsia="en-GB"/>
              </w:rPr>
              <w:br w:type="page"/>
            </w:r>
          </w:p>
          <w:p w:rsidR="00C312C6" w:rsidRPr="00113F41" w:rsidRDefault="00C312C6" w:rsidP="00C312C6">
            <w:pPr>
              <w:spacing w:after="0"/>
              <w:rPr>
                <w:rFonts w:cs="Arial"/>
                <w:b/>
                <w:sz w:val="24"/>
                <w:szCs w:val="32"/>
                <w:lang w:eastAsia="en-GB"/>
              </w:rPr>
            </w:pPr>
            <w:r w:rsidRPr="00113F41">
              <w:rPr>
                <w:rFonts w:cs="Arial"/>
                <w:b/>
                <w:sz w:val="24"/>
                <w:szCs w:val="32"/>
                <w:lang w:eastAsia="en-GB"/>
              </w:rPr>
              <w:t xml:space="preserve">Governance and Decision Making </w:t>
            </w:r>
          </w:p>
          <w:p w:rsidR="00C312C6" w:rsidRPr="00C312C6" w:rsidRDefault="00C312C6" w:rsidP="00C312C6">
            <w:pPr>
              <w:spacing w:after="0"/>
              <w:rPr>
                <w:rFonts w:cs="Arial"/>
                <w:b/>
                <w:color w:val="365F91" w:themeColor="accent1" w:themeShade="BF"/>
                <w:sz w:val="24"/>
                <w:szCs w:val="32"/>
                <w:lang w:eastAsia="en-GB"/>
              </w:rPr>
            </w:pPr>
          </w:p>
          <w:p w:rsidR="00C312C6" w:rsidRPr="00C312C6" w:rsidRDefault="00C312C6" w:rsidP="00C312C6">
            <w:pPr>
              <w:spacing w:after="0"/>
              <w:jc w:val="both"/>
              <w:rPr>
                <w:rFonts w:cs="Arial"/>
                <w:sz w:val="22"/>
                <w:szCs w:val="22"/>
                <w:lang w:eastAsia="en-GB"/>
              </w:rPr>
            </w:pPr>
            <w:r w:rsidRPr="00C312C6">
              <w:rPr>
                <w:rFonts w:cs="Arial"/>
                <w:sz w:val="22"/>
                <w:szCs w:val="22"/>
                <w:lang w:eastAsia="en-GB"/>
              </w:rPr>
              <w:t>Following the significant changes required in the governance arrangements which came into force on 1 April 2015 the Pension Fund Board was established.  Joint meetings of the Pension Fund Committee and Pension Fund Board have been held regularly during 2017/18.</w:t>
            </w:r>
          </w:p>
          <w:p w:rsidR="00C312C6" w:rsidRPr="00C312C6" w:rsidRDefault="00C312C6" w:rsidP="00C312C6">
            <w:pPr>
              <w:spacing w:after="0"/>
              <w:jc w:val="both"/>
              <w:rPr>
                <w:rFonts w:cs="Arial"/>
                <w:sz w:val="22"/>
                <w:szCs w:val="22"/>
                <w:lang w:eastAsia="en-GB"/>
              </w:rPr>
            </w:pPr>
          </w:p>
          <w:p w:rsidR="00C312C6" w:rsidRPr="00C312C6" w:rsidRDefault="00C312C6" w:rsidP="00C312C6">
            <w:pPr>
              <w:spacing w:after="0"/>
              <w:jc w:val="both"/>
              <w:rPr>
                <w:rFonts w:cs="Arial"/>
                <w:sz w:val="22"/>
                <w:szCs w:val="22"/>
                <w:lang w:eastAsia="en-GB"/>
              </w:rPr>
            </w:pPr>
            <w:r w:rsidRPr="00C312C6">
              <w:rPr>
                <w:rFonts w:cs="Arial"/>
                <w:sz w:val="22"/>
                <w:szCs w:val="22"/>
                <w:lang w:eastAsia="en-GB"/>
              </w:rPr>
              <w:t>The remit of the Pension Fund Board is to assist the Council (as administering authority) in relation to:</w:t>
            </w:r>
          </w:p>
          <w:p w:rsidR="00C312C6" w:rsidRPr="00C312C6" w:rsidRDefault="00C312C6" w:rsidP="00C312C6">
            <w:pPr>
              <w:spacing w:after="0"/>
              <w:jc w:val="both"/>
              <w:rPr>
                <w:rFonts w:cs="Arial"/>
                <w:sz w:val="22"/>
                <w:szCs w:val="22"/>
                <w:lang w:eastAsia="en-GB"/>
              </w:rPr>
            </w:pPr>
          </w:p>
          <w:p w:rsidR="00C312C6" w:rsidRPr="00C312C6" w:rsidRDefault="00C312C6" w:rsidP="00E84FCF">
            <w:pPr>
              <w:numPr>
                <w:ilvl w:val="2"/>
                <w:numId w:val="9"/>
              </w:numPr>
              <w:autoSpaceDE w:val="0"/>
              <w:autoSpaceDN w:val="0"/>
              <w:adjustRightInd w:val="0"/>
              <w:spacing w:after="0"/>
              <w:ind w:hanging="371"/>
              <w:rPr>
                <w:rFonts w:cs="Arial"/>
                <w:color w:val="000000"/>
                <w:sz w:val="21"/>
                <w:szCs w:val="21"/>
                <w:lang w:eastAsia="en-GB"/>
              </w:rPr>
            </w:pPr>
            <w:r w:rsidRPr="00C312C6">
              <w:rPr>
                <w:rFonts w:cs="Arial"/>
                <w:color w:val="000000"/>
                <w:sz w:val="21"/>
                <w:szCs w:val="21"/>
                <w:lang w:eastAsia="en-GB"/>
              </w:rPr>
              <w:t xml:space="preserve">securing compliance with the regulations and other legislation relating to the governance and administration of the Scheme and any statutory pension scheme that is connected with it; </w:t>
            </w:r>
          </w:p>
          <w:p w:rsidR="00C312C6" w:rsidRPr="00C312C6" w:rsidRDefault="00C312C6" w:rsidP="00E84FCF">
            <w:pPr>
              <w:numPr>
                <w:ilvl w:val="2"/>
                <w:numId w:val="9"/>
              </w:numPr>
              <w:autoSpaceDE w:val="0"/>
              <w:autoSpaceDN w:val="0"/>
              <w:adjustRightInd w:val="0"/>
              <w:spacing w:after="0"/>
              <w:ind w:hanging="371"/>
              <w:rPr>
                <w:rFonts w:cs="Arial"/>
                <w:color w:val="000000"/>
                <w:sz w:val="21"/>
                <w:szCs w:val="21"/>
                <w:lang w:eastAsia="en-GB"/>
              </w:rPr>
            </w:pPr>
            <w:r w:rsidRPr="00C312C6">
              <w:rPr>
                <w:rFonts w:cs="Arial"/>
                <w:color w:val="000000"/>
                <w:sz w:val="21"/>
                <w:szCs w:val="21"/>
                <w:lang w:eastAsia="en-GB"/>
              </w:rPr>
              <w:t>securing compliance with requirements imposed in relation to the Scheme and any connected scheme by the Pensions Regulator; and</w:t>
            </w:r>
          </w:p>
          <w:p w:rsidR="00C312C6" w:rsidRPr="00C312C6" w:rsidRDefault="00C312C6" w:rsidP="00E84FCF">
            <w:pPr>
              <w:numPr>
                <w:ilvl w:val="2"/>
                <w:numId w:val="9"/>
              </w:numPr>
              <w:autoSpaceDE w:val="0"/>
              <w:autoSpaceDN w:val="0"/>
              <w:adjustRightInd w:val="0"/>
              <w:spacing w:after="0"/>
              <w:ind w:hanging="371"/>
              <w:rPr>
                <w:rFonts w:cs="Arial"/>
                <w:color w:val="000000"/>
                <w:sz w:val="21"/>
                <w:szCs w:val="21"/>
                <w:lang w:eastAsia="en-GB"/>
              </w:rPr>
            </w:pPr>
            <w:r w:rsidRPr="00C312C6">
              <w:rPr>
                <w:rFonts w:cs="Arial"/>
                <w:color w:val="000000"/>
                <w:sz w:val="21"/>
                <w:szCs w:val="21"/>
                <w:lang w:eastAsia="en-GB"/>
              </w:rPr>
              <w:t>such other matters as the regulations may specify.</w:t>
            </w:r>
          </w:p>
          <w:p w:rsidR="00C312C6" w:rsidRPr="00C312C6" w:rsidRDefault="00C312C6" w:rsidP="00C312C6">
            <w:pPr>
              <w:spacing w:after="0"/>
              <w:jc w:val="both"/>
              <w:rPr>
                <w:rFonts w:cs="Arial"/>
                <w:sz w:val="22"/>
                <w:szCs w:val="22"/>
                <w:lang w:eastAsia="en-GB"/>
              </w:rPr>
            </w:pPr>
            <w:r w:rsidRPr="00C312C6">
              <w:rPr>
                <w:rFonts w:cs="Arial"/>
                <w:sz w:val="22"/>
                <w:szCs w:val="22"/>
                <w:lang w:eastAsia="en-GB"/>
              </w:rPr>
              <w:br/>
              <w:t xml:space="preserve">This body is made up of four scheme employer representatives and four trade union representatives.  </w:t>
            </w:r>
          </w:p>
          <w:p w:rsidR="00C312C6" w:rsidRPr="00C312C6" w:rsidRDefault="00C312C6" w:rsidP="00C312C6">
            <w:pPr>
              <w:spacing w:after="0"/>
              <w:jc w:val="both"/>
              <w:rPr>
                <w:rFonts w:cs="Arial"/>
                <w:sz w:val="22"/>
                <w:szCs w:val="22"/>
                <w:lang w:eastAsia="en-GB"/>
              </w:rPr>
            </w:pPr>
          </w:p>
          <w:p w:rsidR="00C312C6" w:rsidRPr="00C312C6" w:rsidRDefault="00C312C6" w:rsidP="00C312C6">
            <w:pPr>
              <w:spacing w:after="0"/>
              <w:jc w:val="both"/>
              <w:rPr>
                <w:rFonts w:cs="Arial"/>
                <w:sz w:val="22"/>
                <w:szCs w:val="22"/>
                <w:lang w:eastAsia="en-GB"/>
              </w:rPr>
            </w:pPr>
            <w:r w:rsidRPr="00C312C6">
              <w:rPr>
                <w:rFonts w:cs="Arial"/>
                <w:sz w:val="22"/>
                <w:szCs w:val="22"/>
                <w:lang w:eastAsia="en-GB"/>
              </w:rPr>
              <w:t xml:space="preserve">The membership of the Pension Fund Committee comprises elected members from the administering authority, Scottish Borders Council.  </w:t>
            </w:r>
          </w:p>
          <w:p w:rsidR="00C312C6" w:rsidRPr="00C312C6" w:rsidRDefault="00C312C6" w:rsidP="00C312C6">
            <w:pPr>
              <w:spacing w:after="0"/>
              <w:jc w:val="both"/>
              <w:rPr>
                <w:rFonts w:cs="Arial"/>
                <w:sz w:val="22"/>
                <w:szCs w:val="22"/>
                <w:lang w:eastAsia="en-GB"/>
              </w:rPr>
            </w:pPr>
          </w:p>
          <w:p w:rsidR="00C312C6" w:rsidRPr="00C312C6" w:rsidRDefault="00C312C6" w:rsidP="00C312C6">
            <w:pPr>
              <w:spacing w:after="0"/>
              <w:jc w:val="both"/>
              <w:rPr>
                <w:rFonts w:cs="Arial"/>
                <w:sz w:val="22"/>
                <w:szCs w:val="22"/>
                <w:highlight w:val="yellow"/>
                <w:lang w:eastAsia="en-GB"/>
              </w:rPr>
            </w:pPr>
          </w:p>
          <w:p w:rsidR="00C312C6" w:rsidRPr="00113F41" w:rsidRDefault="00C312C6" w:rsidP="00C312C6">
            <w:pPr>
              <w:spacing w:after="0"/>
              <w:jc w:val="both"/>
              <w:rPr>
                <w:rFonts w:cs="Arial"/>
                <w:b/>
                <w:sz w:val="28"/>
                <w:szCs w:val="28"/>
                <w:lang w:eastAsia="en-GB"/>
              </w:rPr>
            </w:pPr>
            <w:r w:rsidRPr="00113F41">
              <w:rPr>
                <w:rFonts w:cs="Arial"/>
                <w:b/>
                <w:sz w:val="28"/>
                <w:szCs w:val="28"/>
                <w:lang w:eastAsia="en-GB"/>
              </w:rPr>
              <w:t>Knowledge and Skills</w:t>
            </w:r>
          </w:p>
          <w:p w:rsidR="00C312C6" w:rsidRPr="00C312C6" w:rsidRDefault="00C312C6" w:rsidP="00C312C6">
            <w:pPr>
              <w:spacing w:after="0"/>
              <w:jc w:val="both"/>
              <w:rPr>
                <w:rFonts w:cs="Arial"/>
                <w:b/>
                <w:color w:val="365F91" w:themeColor="accent1" w:themeShade="BF"/>
                <w:sz w:val="28"/>
                <w:szCs w:val="28"/>
                <w:highlight w:val="yellow"/>
                <w:lang w:eastAsia="en-GB"/>
              </w:rPr>
            </w:pPr>
          </w:p>
          <w:p w:rsidR="00C312C6" w:rsidRPr="00717180" w:rsidRDefault="00C312C6" w:rsidP="00717180">
            <w:pPr>
              <w:spacing w:after="0"/>
              <w:jc w:val="both"/>
              <w:rPr>
                <w:rFonts w:cs="Arial"/>
                <w:sz w:val="22"/>
                <w:szCs w:val="22"/>
                <w:lang w:eastAsia="en-GB"/>
              </w:rPr>
            </w:pPr>
            <w:r w:rsidRPr="00C312C6">
              <w:rPr>
                <w:rFonts w:cs="Arial"/>
                <w:sz w:val="22"/>
                <w:szCs w:val="22"/>
                <w:lang w:eastAsia="en-GB"/>
              </w:rPr>
              <w:t xml:space="preserve">The </w:t>
            </w:r>
            <w:r w:rsidR="003F50B3">
              <w:rPr>
                <w:rFonts w:cs="Arial"/>
                <w:sz w:val="22"/>
                <w:szCs w:val="22"/>
                <w:lang w:eastAsia="en-GB"/>
              </w:rPr>
              <w:t>Funds Training Policy</w:t>
            </w:r>
            <w:r w:rsidRPr="00C312C6">
              <w:rPr>
                <w:rFonts w:cs="Arial"/>
                <w:sz w:val="22"/>
                <w:szCs w:val="22"/>
                <w:lang w:eastAsia="en-GB"/>
              </w:rPr>
              <w:t xml:space="preserve"> was upda</w:t>
            </w:r>
            <w:r w:rsidR="00717180">
              <w:rPr>
                <w:rFonts w:cs="Arial"/>
                <w:sz w:val="22"/>
                <w:szCs w:val="22"/>
                <w:lang w:eastAsia="en-GB"/>
              </w:rPr>
              <w:t xml:space="preserve">ted and agreed on 22 June 2017.   </w:t>
            </w:r>
            <w:r w:rsidRPr="00C312C6">
              <w:rPr>
                <w:rFonts w:cs="Arial"/>
                <w:sz w:val="22"/>
                <w:lang w:eastAsia="en-GB"/>
              </w:rPr>
              <w:t>The Training Policy sets out a target for all members of the Pension Fund Committee and Pension Fund Board in relation to attendance at Committee meetings and training events.</w:t>
            </w:r>
            <w:r w:rsidR="00986BAB">
              <w:rPr>
                <w:rFonts w:cs="Arial"/>
                <w:sz w:val="22"/>
                <w:lang w:eastAsia="en-GB"/>
              </w:rPr>
              <w:t xml:space="preserve"> </w:t>
            </w:r>
            <w:r w:rsidR="003F50B3">
              <w:rPr>
                <w:rFonts w:cs="Arial"/>
                <w:sz w:val="22"/>
                <w:lang w:eastAsia="en-GB"/>
              </w:rPr>
              <w:t>Compliance</w:t>
            </w:r>
            <w:r w:rsidR="00986BAB">
              <w:rPr>
                <w:rFonts w:cs="Arial"/>
                <w:sz w:val="22"/>
                <w:lang w:eastAsia="en-GB"/>
              </w:rPr>
              <w:t xml:space="preserve"> with the policy is monitored regularly.</w:t>
            </w:r>
            <w:r w:rsidRPr="00C312C6">
              <w:rPr>
                <w:rFonts w:cs="Arial"/>
                <w:sz w:val="22"/>
                <w:lang w:eastAsia="en-GB"/>
              </w:rPr>
              <w:t xml:space="preserve">  </w:t>
            </w:r>
          </w:p>
          <w:p w:rsidR="00C312C6" w:rsidRPr="00C312C6" w:rsidRDefault="00C312C6" w:rsidP="00C312C6">
            <w:pPr>
              <w:tabs>
                <w:tab w:val="left" w:pos="567"/>
                <w:tab w:val="left" w:pos="1134"/>
              </w:tabs>
              <w:spacing w:before="60" w:after="60" w:line="280" w:lineRule="atLeast"/>
              <w:rPr>
                <w:rFonts w:cs="Arial"/>
                <w:sz w:val="22"/>
                <w:lang w:eastAsia="en-GB"/>
              </w:rPr>
            </w:pPr>
          </w:p>
          <w:p w:rsidR="00C312C6" w:rsidRPr="00717180" w:rsidRDefault="00C312C6" w:rsidP="00717180">
            <w:pPr>
              <w:tabs>
                <w:tab w:val="left" w:pos="567"/>
                <w:tab w:val="left" w:pos="1134"/>
              </w:tabs>
              <w:spacing w:before="60" w:after="60" w:line="280" w:lineRule="atLeast"/>
              <w:rPr>
                <w:rFonts w:cs="Arial"/>
                <w:sz w:val="22"/>
                <w:lang w:eastAsia="en-GB"/>
              </w:rPr>
            </w:pPr>
            <w:r w:rsidRPr="00C312C6">
              <w:rPr>
                <w:rFonts w:cs="Arial"/>
                <w:sz w:val="22"/>
                <w:lang w:eastAsia="en-GB"/>
              </w:rPr>
              <w:t xml:space="preserve">The Policy requires members of the Pension Fund Board and Committee to attend at least two meetings per year and two training events.  All Members of the Pension Fund Committee fully met the training and attendance targets set in the Training Policy.  75% of the Pension Fund Board met the attendance target and 75% met the training target.  The Training policy also for 2017/18 required all members of the Committee and Board to undertake </w:t>
            </w:r>
            <w:r w:rsidR="004606C8">
              <w:rPr>
                <w:rFonts w:cs="Arial"/>
                <w:sz w:val="22"/>
                <w:lang w:eastAsia="en-GB"/>
              </w:rPr>
              <w:t>T</w:t>
            </w:r>
            <w:r w:rsidRPr="00C312C6">
              <w:rPr>
                <w:rFonts w:cs="Arial"/>
                <w:sz w:val="22"/>
                <w:lang w:eastAsia="en-GB"/>
              </w:rPr>
              <w:t xml:space="preserve">he Pension Regulator Trustee Toolkit within 6 months of becoming a member.  </w:t>
            </w:r>
            <w:r w:rsidRPr="00C312C6">
              <w:rPr>
                <w:rFonts w:cs="Arial"/>
                <w:sz w:val="22"/>
                <w:szCs w:val="22"/>
                <w:lang w:eastAsia="en-GB"/>
              </w:rPr>
              <w:t>The Fund is able to demonstrate full compliance with the relevant best practice standards and this is set out in the Governance Co</w:t>
            </w:r>
            <w:r w:rsidR="00986BAB">
              <w:rPr>
                <w:rFonts w:cs="Arial"/>
                <w:sz w:val="22"/>
                <w:szCs w:val="22"/>
                <w:lang w:eastAsia="en-GB"/>
              </w:rPr>
              <w:t>mpliance Statemen</w:t>
            </w:r>
            <w:r w:rsidR="00E84FCF">
              <w:rPr>
                <w:rFonts w:cs="Arial"/>
                <w:sz w:val="22"/>
                <w:szCs w:val="22"/>
                <w:lang w:eastAsia="en-GB"/>
              </w:rPr>
              <w:t>t</w:t>
            </w:r>
            <w:r w:rsidR="004606C8">
              <w:rPr>
                <w:rFonts w:cs="Arial"/>
                <w:sz w:val="22"/>
                <w:szCs w:val="22"/>
                <w:lang w:eastAsia="en-GB"/>
              </w:rPr>
              <w:t xml:space="preserve"> accessible at </w:t>
            </w:r>
            <w:hyperlink r:id="rId12" w:history="1">
              <w:r w:rsidR="004606C8" w:rsidRPr="0059755E">
                <w:rPr>
                  <w:rStyle w:val="Hyperlink"/>
                  <w:rFonts w:cs="Arial"/>
                  <w:sz w:val="22"/>
                  <w:szCs w:val="22"/>
                  <w:lang w:eastAsia="en-GB"/>
                </w:rPr>
                <w:t>http://www.scottishborderscouncilpensionfund.org/media/4239/annual-report-2017-18-audited.pdf</w:t>
              </w:r>
            </w:hyperlink>
          </w:p>
          <w:p w:rsidR="0020468E" w:rsidRDefault="00C312C6" w:rsidP="00C312C6">
            <w:pPr>
              <w:spacing w:after="0"/>
              <w:rPr>
                <w:rFonts w:cs="Arial"/>
                <w:b/>
                <w:color w:val="993366"/>
                <w:sz w:val="24"/>
                <w:szCs w:val="32"/>
                <w:lang w:eastAsia="en-GB"/>
              </w:rPr>
            </w:pPr>
            <w:r w:rsidRPr="00C312C6">
              <w:rPr>
                <w:rFonts w:cs="Arial"/>
                <w:b/>
                <w:color w:val="993366"/>
                <w:sz w:val="24"/>
                <w:szCs w:val="32"/>
                <w:lang w:eastAsia="en-GB"/>
              </w:rPr>
              <w:br w:type="page"/>
            </w:r>
          </w:p>
          <w:p w:rsidR="003F50B3" w:rsidRDefault="003F50B3" w:rsidP="00C312C6">
            <w:pPr>
              <w:spacing w:after="0"/>
              <w:rPr>
                <w:rFonts w:cs="Arial"/>
                <w:sz w:val="22"/>
                <w:szCs w:val="22"/>
                <w:lang w:eastAsia="en-GB"/>
              </w:rPr>
            </w:pPr>
          </w:p>
          <w:p w:rsidR="00C312C6" w:rsidRPr="0020468E" w:rsidRDefault="00C312C6" w:rsidP="00C312C6">
            <w:pPr>
              <w:spacing w:after="0"/>
              <w:rPr>
                <w:rFonts w:cs="Arial"/>
                <w:b/>
                <w:color w:val="993366"/>
                <w:sz w:val="32"/>
                <w:szCs w:val="32"/>
                <w:lang w:eastAsia="en-GB"/>
              </w:rPr>
            </w:pPr>
            <w:r w:rsidRPr="00C312C6">
              <w:rPr>
                <w:rFonts w:cs="Arial"/>
                <w:sz w:val="22"/>
                <w:szCs w:val="22"/>
                <w:lang w:eastAsia="en-GB"/>
              </w:rPr>
              <w:t xml:space="preserve">A full copy of the Business Plan can be found at </w:t>
            </w:r>
            <w:hyperlink r:id="rId13" w:history="1">
              <w:r w:rsidRPr="00C312C6">
                <w:rPr>
                  <w:rFonts w:cs="Arial"/>
                  <w:color w:val="0000FF"/>
                  <w:sz w:val="22"/>
                  <w:szCs w:val="22"/>
                  <w:u w:val="single"/>
                  <w:lang w:eastAsia="en-GB"/>
                </w:rPr>
                <w:t>www.scotborders.gov.uk/pensions</w:t>
              </w:r>
            </w:hyperlink>
            <w:r w:rsidRPr="00C312C6">
              <w:rPr>
                <w:rFonts w:cs="Arial"/>
                <w:color w:val="0000FF"/>
                <w:sz w:val="22"/>
                <w:szCs w:val="22"/>
                <w:u w:val="single"/>
                <w:lang w:eastAsia="en-GB"/>
              </w:rPr>
              <w:t>.</w:t>
            </w:r>
          </w:p>
          <w:p w:rsidR="00C312C6" w:rsidRPr="00C312C6" w:rsidRDefault="00C312C6" w:rsidP="00C312C6">
            <w:pPr>
              <w:spacing w:after="0"/>
              <w:rPr>
                <w:rFonts w:cs="Arial"/>
                <w:b/>
                <w:color w:val="993366"/>
                <w:sz w:val="32"/>
                <w:szCs w:val="32"/>
                <w:lang w:eastAsia="en-GB"/>
              </w:rPr>
            </w:pPr>
          </w:p>
          <w:p w:rsidR="0020468E" w:rsidRPr="003F50B3" w:rsidRDefault="003F50B3" w:rsidP="003F50B3">
            <w:pPr>
              <w:spacing w:after="0"/>
              <w:rPr>
                <w:rFonts w:cs="Arial"/>
                <w:sz w:val="22"/>
                <w:lang w:eastAsia="en-GB"/>
              </w:rPr>
            </w:pPr>
            <w:r>
              <w:rPr>
                <w:rFonts w:cs="Arial"/>
                <w:sz w:val="22"/>
                <w:lang w:eastAsia="en-GB"/>
              </w:rPr>
              <w:br w:type="page"/>
            </w:r>
            <w:r w:rsidR="00C312C6" w:rsidRPr="00C312C6">
              <w:rPr>
                <w:rFonts w:cs="Arial"/>
                <w:sz w:val="22"/>
                <w:szCs w:val="22"/>
                <w:lang w:eastAsia="en-GB"/>
              </w:rPr>
              <w:t xml:space="preserve">The Statement of Investment Principles (SIP) </w:t>
            </w:r>
            <w:r w:rsidR="0020468E">
              <w:rPr>
                <w:rFonts w:cs="Arial"/>
                <w:sz w:val="22"/>
                <w:szCs w:val="22"/>
                <w:lang w:eastAsia="en-GB"/>
              </w:rPr>
              <w:t>can be found here</w:t>
            </w:r>
            <w:r w:rsidR="00C312C6" w:rsidRPr="00C312C6">
              <w:rPr>
                <w:rFonts w:cs="Arial"/>
                <w:sz w:val="22"/>
                <w:szCs w:val="22"/>
                <w:lang w:eastAsia="en-GB"/>
              </w:rPr>
              <w:t xml:space="preserve">  </w:t>
            </w:r>
            <w:hyperlink r:id="rId14" w:history="1">
              <w:r w:rsidR="00C312C6" w:rsidRPr="00C312C6">
                <w:rPr>
                  <w:rFonts w:cs="Arial"/>
                  <w:color w:val="0000FF"/>
                  <w:sz w:val="22"/>
                  <w:szCs w:val="22"/>
                  <w:u w:val="single"/>
                  <w:lang w:eastAsia="en-GB"/>
                </w:rPr>
                <w:t>www.scotborders.gov.uk/pensions</w:t>
              </w:r>
            </w:hyperlink>
            <w:r w:rsidR="00C312C6" w:rsidRPr="00C312C6">
              <w:rPr>
                <w:rFonts w:cs="Arial"/>
                <w:sz w:val="22"/>
                <w:szCs w:val="22"/>
                <w:lang w:eastAsia="en-GB"/>
              </w:rPr>
              <w:t xml:space="preserve">.  </w:t>
            </w:r>
          </w:p>
          <w:p w:rsidR="0020468E" w:rsidRDefault="0020468E" w:rsidP="00C312C6">
            <w:pPr>
              <w:spacing w:after="0"/>
              <w:jc w:val="both"/>
              <w:rPr>
                <w:rFonts w:cs="Arial"/>
                <w:sz w:val="22"/>
                <w:szCs w:val="22"/>
                <w:lang w:eastAsia="en-GB"/>
              </w:rPr>
            </w:pPr>
          </w:p>
          <w:p w:rsidR="00C312C6" w:rsidRPr="00C312C6" w:rsidRDefault="00C312C6" w:rsidP="00C312C6">
            <w:pPr>
              <w:spacing w:after="0"/>
              <w:jc w:val="both"/>
              <w:rPr>
                <w:rFonts w:cs="Arial"/>
                <w:sz w:val="10"/>
                <w:szCs w:val="22"/>
                <w:lang w:eastAsia="en-GB"/>
              </w:rPr>
            </w:pPr>
          </w:p>
          <w:p w:rsidR="00E84FCF" w:rsidRPr="00C312C6" w:rsidRDefault="00C312C6" w:rsidP="00E84FCF">
            <w:pPr>
              <w:spacing w:after="0"/>
              <w:rPr>
                <w:rFonts w:cs="Arial"/>
                <w:sz w:val="22"/>
                <w:szCs w:val="22"/>
                <w:lang w:eastAsia="en-GB"/>
              </w:rPr>
            </w:pPr>
            <w:r w:rsidRPr="00C312C6">
              <w:rPr>
                <w:rFonts w:ascii="Times New Roman" w:hAnsi="Times New Roman"/>
                <w:sz w:val="20"/>
                <w:lang w:eastAsia="en-GB"/>
              </w:rPr>
              <w:br w:type="page"/>
            </w:r>
            <w:r w:rsidR="00E84FCF" w:rsidRPr="00C312C6">
              <w:rPr>
                <w:rFonts w:cs="Arial"/>
                <w:sz w:val="22"/>
                <w:szCs w:val="22"/>
                <w:lang w:eastAsia="en-GB"/>
              </w:rPr>
              <w:t xml:space="preserve">The full version of the actuary report and the current Funding Strategy is available via the Pension Funds website: </w:t>
            </w:r>
            <w:hyperlink r:id="rId15" w:history="1">
              <w:r w:rsidR="00E84FCF" w:rsidRPr="00C312C6">
                <w:rPr>
                  <w:rFonts w:cs="Arial"/>
                  <w:color w:val="0000FF"/>
                  <w:sz w:val="22"/>
                  <w:szCs w:val="22"/>
                  <w:u w:val="single"/>
                  <w:lang w:eastAsia="en-GB"/>
                </w:rPr>
                <w:t>http://scottishborderscouncilpensionfund.org/</w:t>
              </w:r>
            </w:hyperlink>
          </w:p>
          <w:p w:rsidR="00C312C6" w:rsidRPr="00C312C6" w:rsidRDefault="00C312C6" w:rsidP="00C312C6">
            <w:pPr>
              <w:spacing w:after="0"/>
              <w:rPr>
                <w:rFonts w:cs="Arial"/>
                <w:b/>
                <w:color w:val="365F91" w:themeColor="accent1" w:themeShade="BF"/>
                <w:sz w:val="32"/>
                <w:highlight w:val="yellow"/>
                <w:lang w:eastAsia="en-GB"/>
              </w:rPr>
            </w:pPr>
          </w:p>
          <w:p w:rsidR="00C312C6" w:rsidRDefault="00C312C6" w:rsidP="00C312C6">
            <w:pPr>
              <w:spacing w:after="0"/>
              <w:ind w:right="3"/>
              <w:rPr>
                <w:rFonts w:eastAsia="MS Mincho" w:cs="Arial"/>
                <w:sz w:val="22"/>
                <w:szCs w:val="22"/>
                <w:lang w:eastAsia="en-GB"/>
              </w:rPr>
            </w:pPr>
            <w:r w:rsidRPr="00C312C6">
              <w:rPr>
                <w:rFonts w:cs="Arial"/>
                <w:sz w:val="22"/>
                <w:szCs w:val="22"/>
                <w:lang w:eastAsia="en-GB"/>
              </w:rPr>
              <w:t>The Fund’s Pensions Administration Strategy was approved in September 2015.  This sets out scheme employer and administering authority roles and responsibilities and defines the service per</w:t>
            </w:r>
            <w:r w:rsidR="00E84FCF">
              <w:rPr>
                <w:rFonts w:cs="Arial"/>
                <w:sz w:val="22"/>
                <w:szCs w:val="22"/>
                <w:lang w:eastAsia="en-GB"/>
              </w:rPr>
              <w:t xml:space="preserve">formance standards.  </w:t>
            </w:r>
            <w:r w:rsidRPr="00C312C6">
              <w:rPr>
                <w:rFonts w:eastAsia="MS Mincho" w:cs="Arial"/>
                <w:sz w:val="22"/>
                <w:szCs w:val="22"/>
                <w:lang w:eastAsia="en-GB"/>
              </w:rPr>
              <w:t xml:space="preserve">A comprehensive report on Pensions Administration performance for 2017/18 was presented to the joint meeting of the Pension Fund Committee and Pension Board on 14 June 2018 and a copy of the report is available via the Council’s committee papers website </w:t>
            </w:r>
            <w:hyperlink r:id="rId16" w:history="1">
              <w:r w:rsidRPr="00C312C6">
                <w:rPr>
                  <w:rFonts w:eastAsia="MS Mincho" w:cs="Arial"/>
                  <w:color w:val="0000FF"/>
                  <w:sz w:val="22"/>
                  <w:szCs w:val="22"/>
                  <w:u w:val="single"/>
                  <w:lang w:eastAsia="en-GB"/>
                </w:rPr>
                <w:t>http://scottishborders.moderngov.co.uk/</w:t>
              </w:r>
            </w:hyperlink>
            <w:r w:rsidRPr="00C312C6">
              <w:rPr>
                <w:rFonts w:eastAsia="MS Mincho" w:cs="Arial"/>
                <w:sz w:val="22"/>
                <w:szCs w:val="22"/>
                <w:lang w:eastAsia="en-GB"/>
              </w:rPr>
              <w:t>.</w:t>
            </w:r>
          </w:p>
          <w:p w:rsidR="002A571A" w:rsidRDefault="002A571A" w:rsidP="00C312C6">
            <w:pPr>
              <w:spacing w:after="0"/>
              <w:ind w:right="3"/>
              <w:rPr>
                <w:rFonts w:eastAsia="MS Mincho" w:cs="Arial"/>
                <w:sz w:val="22"/>
                <w:szCs w:val="22"/>
                <w:lang w:eastAsia="en-GB"/>
              </w:rPr>
            </w:pPr>
          </w:p>
          <w:p w:rsidR="002A571A" w:rsidRPr="00E84FCF" w:rsidRDefault="002A571A" w:rsidP="00C312C6">
            <w:pPr>
              <w:spacing w:after="0"/>
              <w:ind w:right="3"/>
              <w:rPr>
                <w:rFonts w:cs="Arial"/>
                <w:sz w:val="22"/>
                <w:szCs w:val="22"/>
                <w:lang w:eastAsia="en-GB"/>
              </w:rPr>
            </w:pPr>
            <w:r>
              <w:rPr>
                <w:rFonts w:eastAsia="MS Mincho" w:cs="Arial"/>
                <w:sz w:val="22"/>
                <w:szCs w:val="22"/>
                <w:lang w:eastAsia="en-GB"/>
              </w:rPr>
              <w:t xml:space="preserve">Against this background the statutory Audit for 2017/18 of Scottish Borders Pension Fund under taken by Audit Scotland concluded </w:t>
            </w:r>
            <w:r w:rsidR="00717180">
              <w:rPr>
                <w:rFonts w:eastAsia="MS Mincho" w:cs="Arial"/>
                <w:sz w:val="22"/>
                <w:szCs w:val="22"/>
                <w:lang w:eastAsia="en-GB"/>
              </w:rPr>
              <w:t>positively on the ma</w:t>
            </w:r>
            <w:r w:rsidR="00A904AA">
              <w:rPr>
                <w:rFonts w:eastAsia="MS Mincho" w:cs="Arial"/>
                <w:sz w:val="22"/>
                <w:szCs w:val="22"/>
                <w:lang w:eastAsia="en-GB"/>
              </w:rPr>
              <w:t>nagemen</w:t>
            </w:r>
            <w:r w:rsidR="00717180">
              <w:rPr>
                <w:rFonts w:eastAsia="MS Mincho" w:cs="Arial"/>
                <w:sz w:val="22"/>
                <w:szCs w:val="22"/>
                <w:lang w:eastAsia="en-GB"/>
              </w:rPr>
              <w:t>t</w:t>
            </w:r>
            <w:r w:rsidR="00FA6458">
              <w:rPr>
                <w:rFonts w:eastAsia="MS Mincho" w:cs="Arial"/>
                <w:sz w:val="22"/>
                <w:szCs w:val="22"/>
                <w:lang w:eastAsia="en-GB"/>
              </w:rPr>
              <w:t xml:space="preserve"> of the F</w:t>
            </w:r>
            <w:r w:rsidR="00A904AA">
              <w:rPr>
                <w:rFonts w:eastAsia="MS Mincho" w:cs="Arial"/>
                <w:sz w:val="22"/>
                <w:szCs w:val="22"/>
                <w:lang w:eastAsia="en-GB"/>
              </w:rPr>
              <w:t>und.</w:t>
            </w:r>
          </w:p>
          <w:p w:rsidR="00C312C6" w:rsidRPr="00C312C6" w:rsidRDefault="00C312C6" w:rsidP="00C312C6">
            <w:pPr>
              <w:spacing w:after="0"/>
              <w:rPr>
                <w:rFonts w:eastAsia="MS Mincho" w:cs="Arial"/>
                <w:sz w:val="22"/>
                <w:szCs w:val="22"/>
                <w:lang w:eastAsia="en-GB"/>
              </w:rPr>
            </w:pPr>
          </w:p>
          <w:p w:rsidR="00FA6458" w:rsidRDefault="008618A0" w:rsidP="0026669A">
            <w:r>
              <w:t xml:space="preserve">The Scottish Borders Pension fund </w:t>
            </w:r>
            <w:r w:rsidR="00A904AA">
              <w:t>is by any objective measure well managed and governed effectively.  The fund is fully compliant with the relevant legislation and</w:t>
            </w:r>
            <w:r w:rsidR="00FA6458">
              <w:t xml:space="preserve"> has well established </w:t>
            </w:r>
            <w:r w:rsidR="00A904AA">
              <w:t>board and committee arrangements in place.  The Scottish Borde</w:t>
            </w:r>
            <w:r w:rsidR="00FA6458">
              <w:t>rs Council pension fund is 114%</w:t>
            </w:r>
            <w:r w:rsidR="00A904AA">
              <w:t xml:space="preserve"> funded and, has a growing membership. The fund is well diversified t</w:t>
            </w:r>
            <w:r w:rsidR="00FA6458">
              <w:t xml:space="preserve">o protect against market shocks and has recently concentrated on income yielding </w:t>
            </w:r>
            <w:r w:rsidR="000A181B">
              <w:t>assets in</w:t>
            </w:r>
            <w:r w:rsidR="00A904AA">
              <w:t xml:space="preserve"> response to the maturity profile of the membership. </w:t>
            </w:r>
          </w:p>
          <w:p w:rsidR="00C312C6" w:rsidRDefault="00E070F6" w:rsidP="0026669A">
            <w:r>
              <w:t xml:space="preserve">The Borders </w:t>
            </w:r>
            <w:r w:rsidR="009B15C2">
              <w:t>e</w:t>
            </w:r>
            <w:r w:rsidR="00A904AA">
              <w:t xml:space="preserve">mployer contribution rates are amongst </w:t>
            </w:r>
            <w:r w:rsidR="00583F2B">
              <w:t>the lowest in Scotland and the F</w:t>
            </w:r>
            <w:r w:rsidR="00A904AA">
              <w:t>und complies fully with CIPFA guidance on fee transparency.  The fund is assisted by appropriately qualified and experienced officers, external advisers and fund managers.  It has opted up</w:t>
            </w:r>
            <w:r w:rsidR="001372D1">
              <w:t xml:space="preserve"> to professional status under Mi</w:t>
            </w:r>
            <w:r w:rsidR="00A904AA">
              <w:t xml:space="preserve">FID 2 and </w:t>
            </w:r>
            <w:r w:rsidR="00FA6458">
              <w:t xml:space="preserve">is </w:t>
            </w:r>
            <w:r w:rsidR="00A904AA">
              <w:t>well placed to meet the challenges facing the LGPS.</w:t>
            </w:r>
          </w:p>
          <w:p w:rsidR="00A904AA" w:rsidRDefault="00FA6458" w:rsidP="0026669A">
            <w:r>
              <w:t>The SBCPF</w:t>
            </w:r>
            <w:r w:rsidR="00A904AA">
              <w:t xml:space="preserve"> recognises that if the LGPS in Scotland was being established afresh an 11 fund structure would probably not be the model chosen to administer the fund.  </w:t>
            </w:r>
            <w:r>
              <w:t>Nevertheless t</w:t>
            </w:r>
            <w:r w:rsidR="00A904AA">
              <w:t xml:space="preserve">he </w:t>
            </w:r>
            <w:r>
              <w:t xml:space="preserve">long track record of </w:t>
            </w:r>
            <w:r w:rsidR="00A904AA">
              <w:t>strong performance of the Scottish Borders Pensio</w:t>
            </w:r>
            <w:r>
              <w:t xml:space="preserve">n fund, the lack of robust evidence of the benefits of </w:t>
            </w:r>
            <w:r w:rsidR="00A904AA">
              <w:t>change and potentially negative impact such change will have on</w:t>
            </w:r>
            <w:r w:rsidR="007676AC">
              <w:t xml:space="preserve"> to the stability, performance </w:t>
            </w:r>
            <w:r>
              <w:t xml:space="preserve">and funding position has led the Fund to conclude </w:t>
            </w:r>
            <w:r w:rsidR="000A181B">
              <w:t>that making any</w:t>
            </w:r>
            <w:r w:rsidR="00A904AA">
              <w:t xml:space="preserve"> change </w:t>
            </w:r>
            <w:r>
              <w:t xml:space="preserve">to the structure of the LGPS in Scotland is </w:t>
            </w:r>
            <w:r w:rsidR="00A904AA">
              <w:t xml:space="preserve">a high risk strategy.  </w:t>
            </w:r>
          </w:p>
          <w:p w:rsidR="007676AC" w:rsidRDefault="00A904AA" w:rsidP="007676AC">
            <w:r>
              <w:t xml:space="preserve">The evidence to support change is at best selective. </w:t>
            </w:r>
            <w:r w:rsidR="00FA6458">
              <w:t xml:space="preserve"> </w:t>
            </w:r>
            <w:r>
              <w:t xml:space="preserve">Pension fund reforms being undertaken in England and Wales have </w:t>
            </w:r>
            <w:r w:rsidR="00FA6458">
              <w:t xml:space="preserve">proved expensive and have </w:t>
            </w:r>
            <w:r>
              <w:t>yet to demonstrate any positiv</w:t>
            </w:r>
            <w:r w:rsidR="00583F2B">
              <w:t>e impact on fund performance.</w:t>
            </w:r>
            <w:r w:rsidR="007676AC">
              <w:t xml:space="preserve">  </w:t>
            </w:r>
            <w:r w:rsidR="00583F2B">
              <w:t xml:space="preserve"> </w:t>
            </w:r>
          </w:p>
          <w:p w:rsidR="007676AC" w:rsidRDefault="007676AC" w:rsidP="007676AC">
            <w:r>
              <w:t xml:space="preserve">It may be that some marginal cost savings could be </w:t>
            </w:r>
            <w:r w:rsidRPr="007C255D">
              <w:t>delivered by fewer</w:t>
            </w:r>
            <w:r>
              <w:t>,</w:t>
            </w:r>
            <w:r w:rsidRPr="007C255D">
              <w:t xml:space="preserve"> larger funds </w:t>
            </w:r>
            <w:r>
              <w:t xml:space="preserve">over the longer term.  Evidence to support this view is again at best limited and it should be noted that some of the largest UK pension funds have recently experienced funding and governance issues.  It should also be noted that smaller scale funds, unburdened by weighty governance structures can often move quickly to access attractive niche investment opportunities for example the Borders recently accessed a long lease property mandate which now has a six month investment queue.  While economies of scale may be possible the costs associated with transitioning to new investment </w:t>
            </w:r>
            <w:r>
              <w:lastRenderedPageBreak/>
              <w:t xml:space="preserve">mandates will offset such savings for years to come. </w:t>
            </w:r>
          </w:p>
          <w:p w:rsidR="009B15C2" w:rsidRDefault="009B15C2" w:rsidP="007676AC">
            <w:r>
              <w:t xml:space="preserve">The Fund is already investing infrastructure in collaboration with Lothian Pension fund and plans to further develop this relationship in future.  </w:t>
            </w:r>
          </w:p>
          <w:p w:rsidR="009B15C2" w:rsidRPr="007C255D" w:rsidRDefault="009B15C2" w:rsidP="009B15C2">
            <w:r>
              <w:t>SBCPF believes that everyone should have access to high quality benefits and that the continuing high levels of engagement in the fund demonstrate continued confidence in the stability of the scheme and in the benefits of local management.  This view is assisted greatly by the involvement of local elected members, local trades unions representative and local employers in the decision making process.</w:t>
            </w:r>
          </w:p>
          <w:p w:rsidR="007676AC" w:rsidRDefault="009B15C2" w:rsidP="007676AC">
            <w:r>
              <w:t>The F</w:t>
            </w:r>
            <w:r w:rsidR="007676AC">
              <w:t xml:space="preserve">und believes that there is no reliable empirical case for change and much more work would have to be done to evaluate the benefits and risks associated with change before this could be supported as being in the best interests of the fund membership.  </w:t>
            </w:r>
          </w:p>
          <w:p w:rsidR="009B15C2" w:rsidRPr="009B15C2" w:rsidRDefault="007676AC" w:rsidP="009B15C2">
            <w:pPr>
              <w:rPr>
                <w:b/>
              </w:rPr>
            </w:pPr>
            <w:r w:rsidRPr="009B15C2">
              <w:rPr>
                <w:b/>
              </w:rPr>
              <w:t xml:space="preserve">In the absence of </w:t>
            </w:r>
            <w:r w:rsidR="00BA5000">
              <w:rPr>
                <w:b/>
              </w:rPr>
              <w:t>evidence to the contrary the SB</w:t>
            </w:r>
            <w:r w:rsidRPr="009B15C2">
              <w:rPr>
                <w:b/>
              </w:rPr>
              <w:t xml:space="preserve">PF is of the view that such change is likely to have a detrimental impact on performance and pensioner confidence and for this reason </w:t>
            </w:r>
            <w:r w:rsidR="004606C8">
              <w:rPr>
                <w:b/>
              </w:rPr>
              <w:t>believes</w:t>
            </w:r>
            <w:r w:rsidRPr="009B15C2">
              <w:rPr>
                <w:b/>
              </w:rPr>
              <w:t xml:space="preserve"> the status quo </w:t>
            </w:r>
            <w:r w:rsidR="004606C8">
              <w:rPr>
                <w:b/>
              </w:rPr>
              <w:t xml:space="preserve">should remain </w:t>
            </w:r>
            <w:r w:rsidRPr="009B15C2">
              <w:rPr>
                <w:b/>
              </w:rPr>
              <w:t>while proper evaluation of the evidence supporting any change is undertaken</w:t>
            </w:r>
            <w:r>
              <w:t xml:space="preserve">.  </w:t>
            </w:r>
            <w:r w:rsidR="009B15C2">
              <w:rPr>
                <w:b/>
              </w:rPr>
              <w:t xml:space="preserve">If change is required the Scottish Borders Pension Fund </w:t>
            </w:r>
            <w:r w:rsidR="009B15C2" w:rsidRPr="009B15C2">
              <w:rPr>
                <w:b/>
              </w:rPr>
              <w:t xml:space="preserve">would </w:t>
            </w:r>
            <w:r w:rsidR="004606C8">
              <w:rPr>
                <w:b/>
              </w:rPr>
              <w:t>support</w:t>
            </w:r>
            <w:r w:rsidR="009B15C2" w:rsidRPr="009B15C2">
              <w:rPr>
                <w:b/>
              </w:rPr>
              <w:t xml:space="preserve"> a voluntary collaboration model,</w:t>
            </w:r>
            <w:r w:rsidR="009B15C2">
              <w:rPr>
                <w:b/>
              </w:rPr>
              <w:t xml:space="preserve"> avoiding the need for pooling or </w:t>
            </w:r>
            <w:r w:rsidR="009B15C2" w:rsidRPr="009B15C2">
              <w:rPr>
                <w:b/>
              </w:rPr>
              <w:t xml:space="preserve">expensive, time consuming and un-proven structural reform. </w:t>
            </w:r>
          </w:p>
          <w:p w:rsidR="007676AC" w:rsidRDefault="009B15C2" w:rsidP="007676AC">
            <w:r>
              <w:t>The Scheme Advisory Board is respectfully reminded that t</w:t>
            </w:r>
            <w:r w:rsidR="007676AC" w:rsidRPr="007C255D">
              <w:t xml:space="preserve">he primary fiduciary duty of the LGPS is to take decisions which are in the best interests of its members.  </w:t>
            </w:r>
            <w:r w:rsidR="007676AC">
              <w:t xml:space="preserve">Any changes to the structure of the LGPS in Scotland must place the interests of the scheme members at the forefront of decision making.  There is no evidence that the </w:t>
            </w:r>
            <w:r>
              <w:t>measures being considered by this</w:t>
            </w:r>
            <w:r w:rsidR="007676AC">
              <w:t xml:space="preserve"> consult</w:t>
            </w:r>
            <w:r>
              <w:t>ation will deliver against this objective</w:t>
            </w:r>
            <w:r w:rsidR="007676AC">
              <w:t>.</w:t>
            </w:r>
          </w:p>
          <w:p w:rsidR="00A904AA" w:rsidRDefault="00A904AA" w:rsidP="00A904AA">
            <w:pPr>
              <w:tabs>
                <w:tab w:val="left" w:pos="1933"/>
              </w:tabs>
            </w:pPr>
            <w:r>
              <w:tab/>
            </w:r>
          </w:p>
          <w:p w:rsidR="00A904AA" w:rsidRDefault="00A904AA" w:rsidP="0026669A"/>
          <w:p w:rsidR="00A904AA" w:rsidRDefault="00A904AA" w:rsidP="0026669A"/>
          <w:p w:rsidR="00C312C6" w:rsidRDefault="00C312C6" w:rsidP="0026669A"/>
          <w:p w:rsidR="00C312C6" w:rsidRDefault="00C312C6" w:rsidP="0026669A"/>
          <w:p w:rsidR="00C312C6" w:rsidRDefault="00C312C6" w:rsidP="0026669A"/>
          <w:p w:rsidR="00C312C6" w:rsidRDefault="00C312C6" w:rsidP="0026669A"/>
          <w:p w:rsidR="009A675B" w:rsidRDefault="009A675B" w:rsidP="007676AC"/>
        </w:tc>
      </w:tr>
      <w:tr w:rsidR="003F50B3" w:rsidTr="003E37CD">
        <w:tc>
          <w:tcPr>
            <w:tcW w:w="9180" w:type="dxa"/>
          </w:tcPr>
          <w:p w:rsidR="003F50B3" w:rsidRPr="00C312C6" w:rsidRDefault="007676AC" w:rsidP="007676AC">
            <w:pPr>
              <w:tabs>
                <w:tab w:val="left" w:pos="2834"/>
              </w:tabs>
              <w:spacing w:after="0"/>
              <w:rPr>
                <w:rFonts w:cs="Arial"/>
                <w:b/>
                <w:color w:val="990033"/>
                <w:sz w:val="24"/>
                <w:szCs w:val="32"/>
                <w:lang w:eastAsia="en-GB"/>
              </w:rPr>
            </w:pPr>
            <w:r>
              <w:rPr>
                <w:rFonts w:cs="Arial"/>
                <w:b/>
                <w:color w:val="990033"/>
                <w:sz w:val="24"/>
                <w:szCs w:val="32"/>
                <w:lang w:eastAsia="en-GB"/>
              </w:rPr>
              <w:lastRenderedPageBreak/>
              <w:tab/>
            </w:r>
          </w:p>
        </w:tc>
      </w:tr>
    </w:tbl>
    <w:p w:rsidR="0026669A" w:rsidRDefault="0026669A" w:rsidP="0026669A"/>
    <w:p w:rsidR="00513272" w:rsidRDefault="00513272" w:rsidP="00513272">
      <w:pPr>
        <w:jc w:val="right"/>
      </w:pPr>
      <w:r>
        <w:t>The consultation questions follow.</w:t>
      </w:r>
    </w:p>
    <w:p w:rsidR="00513272" w:rsidRDefault="00513272">
      <w:pPr>
        <w:spacing w:after="200" w:line="276" w:lineRule="auto"/>
      </w:pPr>
      <w:r>
        <w:br w:type="page"/>
      </w:r>
    </w:p>
    <w:tbl>
      <w:tblPr>
        <w:tblStyle w:val="TableGrid"/>
        <w:tblW w:w="0" w:type="auto"/>
        <w:tblLook w:val="04A0" w:firstRow="1" w:lastRow="0" w:firstColumn="1" w:lastColumn="0" w:noHBand="0" w:noVBand="1"/>
      </w:tblPr>
      <w:tblGrid>
        <w:gridCol w:w="9180"/>
      </w:tblGrid>
      <w:tr w:rsidR="00513272" w:rsidTr="003E37CD">
        <w:tc>
          <w:tcPr>
            <w:tcW w:w="9180" w:type="dxa"/>
            <w:tcBorders>
              <w:top w:val="nil"/>
              <w:left w:val="nil"/>
              <w:right w:val="nil"/>
            </w:tcBorders>
          </w:tcPr>
          <w:p w:rsidR="002E3B85" w:rsidRPr="00095FE2" w:rsidRDefault="002E3B85" w:rsidP="002E3B85">
            <w:pPr>
              <w:rPr>
                <w:b/>
                <w:sz w:val="24"/>
              </w:rPr>
            </w:pPr>
            <w:r w:rsidRPr="00095FE2">
              <w:rPr>
                <w:b/>
                <w:sz w:val="24"/>
              </w:rPr>
              <w:lastRenderedPageBreak/>
              <w:t>CONSULTATION QUESTIONS</w:t>
            </w:r>
          </w:p>
          <w:p w:rsidR="000C4E12" w:rsidRDefault="00513272" w:rsidP="000C4E12">
            <w:pPr>
              <w:pStyle w:val="Heading2"/>
              <w:outlineLvl w:val="1"/>
            </w:pPr>
            <w:r>
              <w:t>Question 1:</w:t>
            </w:r>
            <w:r w:rsidR="004B2A40">
              <w:t xml:space="preserve"> </w:t>
            </w:r>
            <w:r w:rsidR="004B2A40" w:rsidRPr="004B2A40">
              <w:t>Retain the current structure with 11 funds</w:t>
            </w:r>
          </w:p>
          <w:p w:rsidR="00513272" w:rsidRDefault="00513272" w:rsidP="000C4E12">
            <w:pPr>
              <w:pStyle w:val="Heading2"/>
              <w:spacing w:after="240"/>
              <w:outlineLvl w:val="1"/>
            </w:pPr>
            <w:r w:rsidRPr="000C4E12">
              <w:rPr>
                <w:rFonts w:eastAsia="Times New Roman" w:cs="Times New Roman"/>
                <w:b w:val="0"/>
                <w:bCs w:val="0"/>
                <w:sz w:val="23"/>
                <w:szCs w:val="20"/>
              </w:rPr>
              <w:t>The text can wrap onto additional pages</w:t>
            </w:r>
            <w:r w:rsidR="00CB2A52" w:rsidRPr="000C4E12">
              <w:rPr>
                <w:rFonts w:eastAsia="Times New Roman" w:cs="Times New Roman"/>
                <w:b w:val="0"/>
                <w:bCs w:val="0"/>
                <w:sz w:val="23"/>
                <w:szCs w:val="20"/>
              </w:rPr>
              <w:t>.</w:t>
            </w:r>
          </w:p>
        </w:tc>
      </w:tr>
      <w:tr w:rsidR="00513272" w:rsidTr="003E37CD">
        <w:tc>
          <w:tcPr>
            <w:tcW w:w="9180" w:type="dxa"/>
          </w:tcPr>
          <w:p w:rsidR="00CB2A52" w:rsidRPr="00CD5218" w:rsidRDefault="00CB2A52" w:rsidP="003803EE">
            <w:pPr>
              <w:pStyle w:val="ListNumber"/>
              <w:numPr>
                <w:ilvl w:val="0"/>
                <w:numId w:val="4"/>
              </w:numPr>
            </w:pPr>
            <w:r w:rsidRPr="00CD5218">
              <w:t xml:space="preserve">Cost of investing: </w:t>
            </w:r>
          </w:p>
          <w:p w:rsidR="00CB2A52" w:rsidRPr="00CD5218" w:rsidRDefault="00CB2A52" w:rsidP="00C22506">
            <w:pPr>
              <w:pStyle w:val="Question"/>
              <w:rPr>
                <w:b/>
              </w:rPr>
            </w:pPr>
            <w:r w:rsidRPr="00CD5218">
              <w:rPr>
                <w:b/>
              </w:rPr>
              <w:t>How well informed do you feel about the investment costs in your fund? What information do you rely on to specify and measure these?</w:t>
            </w:r>
          </w:p>
          <w:p w:rsidR="003E37CD" w:rsidRDefault="000A181B" w:rsidP="00262801">
            <w:pPr>
              <w:rPr>
                <w:lang w:val="en-US"/>
              </w:rPr>
            </w:pPr>
            <w:r>
              <w:rPr>
                <w:lang w:val="en-US"/>
              </w:rPr>
              <w:t xml:space="preserve">The Scottish Borders Council Pension fund has undertaken a significant amount of work with its fund managers in recent years to ensure there is a full understanding of the investment costs of the fund that complies fully with the requirements of CIPFA’s Guidance on Accounting for Local Governance Pension Schemes.   </w:t>
            </w:r>
          </w:p>
          <w:p w:rsidR="00262801" w:rsidRDefault="00B21217" w:rsidP="00262801">
            <w:pPr>
              <w:rPr>
                <w:lang w:val="en-US"/>
              </w:rPr>
            </w:pPr>
            <w:r>
              <w:rPr>
                <w:lang w:val="en-US"/>
              </w:rPr>
              <w:t>The F</w:t>
            </w:r>
            <w:r w:rsidR="00B944F1">
              <w:rPr>
                <w:lang w:val="en-US"/>
              </w:rPr>
              <w:t>und</w:t>
            </w:r>
            <w:r>
              <w:rPr>
                <w:lang w:val="en-US"/>
              </w:rPr>
              <w:t xml:space="preserve"> </w:t>
            </w:r>
            <w:r w:rsidR="004606C8">
              <w:rPr>
                <w:lang w:val="en-US"/>
              </w:rPr>
              <w:t>encourages</w:t>
            </w:r>
            <w:r>
              <w:rPr>
                <w:lang w:val="en-US"/>
              </w:rPr>
              <w:t xml:space="preserve"> its </w:t>
            </w:r>
            <w:r w:rsidR="00470B0B">
              <w:rPr>
                <w:lang w:val="en-US"/>
              </w:rPr>
              <w:t>pension managers have signe</w:t>
            </w:r>
            <w:r w:rsidR="00262801">
              <w:rPr>
                <w:lang w:val="en-US"/>
              </w:rPr>
              <w:t>d</w:t>
            </w:r>
            <w:r w:rsidR="00470B0B">
              <w:rPr>
                <w:lang w:val="en-US"/>
              </w:rPr>
              <w:t xml:space="preserve"> </w:t>
            </w:r>
            <w:r w:rsidR="00262801">
              <w:rPr>
                <w:lang w:val="en-US"/>
              </w:rPr>
              <w:t xml:space="preserve">up to the </w:t>
            </w:r>
            <w:r w:rsidR="004A1B14">
              <w:rPr>
                <w:lang w:val="en-US"/>
              </w:rPr>
              <w:t xml:space="preserve">LGPS </w:t>
            </w:r>
            <w:r w:rsidR="00262801">
              <w:rPr>
                <w:lang w:val="en-US"/>
              </w:rPr>
              <w:t xml:space="preserve">fee transparency code and </w:t>
            </w:r>
            <w:r w:rsidR="005F2EDE">
              <w:rPr>
                <w:lang w:val="en-US"/>
              </w:rPr>
              <w:t xml:space="preserve">fully </w:t>
            </w:r>
            <w:r w:rsidR="00262801">
              <w:rPr>
                <w:lang w:val="en-US"/>
              </w:rPr>
              <w:t xml:space="preserve">disclose </w:t>
            </w:r>
            <w:r w:rsidR="00470B0B">
              <w:rPr>
                <w:lang w:val="en-US"/>
              </w:rPr>
              <w:t>both internal and external management</w:t>
            </w:r>
            <w:r w:rsidR="00262801">
              <w:rPr>
                <w:lang w:val="en-US"/>
              </w:rPr>
              <w:t xml:space="preserve"> fees </w:t>
            </w:r>
            <w:r w:rsidR="00B944F1">
              <w:rPr>
                <w:lang w:val="en-US"/>
              </w:rPr>
              <w:t xml:space="preserve">and transaction costs </w:t>
            </w:r>
            <w:r w:rsidR="00262801">
              <w:rPr>
                <w:lang w:val="en-US"/>
              </w:rPr>
              <w:t>within</w:t>
            </w:r>
            <w:r>
              <w:rPr>
                <w:lang w:val="en-US"/>
              </w:rPr>
              <w:t xml:space="preserve"> its</w:t>
            </w:r>
            <w:r w:rsidR="00262801">
              <w:rPr>
                <w:lang w:val="en-US"/>
              </w:rPr>
              <w:t xml:space="preserve"> annual accounts.</w:t>
            </w:r>
          </w:p>
          <w:p w:rsidR="00CB2A52" w:rsidRPr="00CD5218" w:rsidRDefault="00CB2A52" w:rsidP="00C22506">
            <w:pPr>
              <w:pStyle w:val="Question"/>
              <w:rPr>
                <w:b/>
              </w:rPr>
            </w:pPr>
            <w:r w:rsidRPr="00CD5218">
              <w:rPr>
                <w:b/>
              </w:rPr>
              <w:t xml:space="preserve">How well does the current system manage investment costs?  </w:t>
            </w:r>
          </w:p>
          <w:p w:rsidR="005F2EDE" w:rsidRDefault="005F2EDE" w:rsidP="00B944F1">
            <w:pPr>
              <w:rPr>
                <w:lang w:val="en-US"/>
              </w:rPr>
            </w:pPr>
            <w:r>
              <w:rPr>
                <w:lang w:val="en-US"/>
              </w:rPr>
              <w:t xml:space="preserve">The fund has good </w:t>
            </w:r>
            <w:r w:rsidR="000A181B">
              <w:rPr>
                <w:lang w:val="en-US"/>
              </w:rPr>
              <w:t>information</w:t>
            </w:r>
            <w:r>
              <w:rPr>
                <w:lang w:val="en-US"/>
              </w:rPr>
              <w:t xml:space="preserve"> with regard to fee levels allowing objective evaluation and comparison of the fees charged by individual managers.  </w:t>
            </w:r>
          </w:p>
          <w:p w:rsidR="00B944F1" w:rsidRDefault="000F3B43" w:rsidP="00B944F1">
            <w:pPr>
              <w:rPr>
                <w:lang w:val="en-US"/>
              </w:rPr>
            </w:pPr>
            <w:r>
              <w:rPr>
                <w:lang w:val="en-US"/>
              </w:rPr>
              <w:t xml:space="preserve">The absolute level of cost </w:t>
            </w:r>
            <w:r w:rsidR="005F2EDE">
              <w:rPr>
                <w:lang w:val="en-US"/>
              </w:rPr>
              <w:t xml:space="preserve">while important </w:t>
            </w:r>
            <w:r>
              <w:rPr>
                <w:lang w:val="en-US"/>
              </w:rPr>
              <w:t>is not</w:t>
            </w:r>
            <w:r w:rsidR="001E39D0">
              <w:rPr>
                <w:lang w:val="en-US"/>
              </w:rPr>
              <w:t xml:space="preserve"> however</w:t>
            </w:r>
            <w:r>
              <w:rPr>
                <w:lang w:val="en-US"/>
              </w:rPr>
              <w:t xml:space="preserve"> </w:t>
            </w:r>
            <w:r w:rsidR="005F2EDE">
              <w:rPr>
                <w:lang w:val="en-US"/>
              </w:rPr>
              <w:t xml:space="preserve">always </w:t>
            </w:r>
            <w:r w:rsidR="001E39D0">
              <w:rPr>
                <w:lang w:val="en-US"/>
              </w:rPr>
              <w:t xml:space="preserve">the most important </w:t>
            </w:r>
            <w:r w:rsidR="005F2EDE">
              <w:rPr>
                <w:lang w:val="en-US"/>
              </w:rPr>
              <w:t xml:space="preserve">determining </w:t>
            </w:r>
            <w:r w:rsidR="001E39D0">
              <w:rPr>
                <w:lang w:val="en-US"/>
              </w:rPr>
              <w:t>factor</w:t>
            </w:r>
            <w:r w:rsidR="005F2EDE">
              <w:rPr>
                <w:lang w:val="en-US"/>
              </w:rPr>
              <w:t xml:space="preserve"> in retaining a fund manager</w:t>
            </w:r>
            <w:r w:rsidR="001E39D0">
              <w:rPr>
                <w:lang w:val="en-US"/>
              </w:rPr>
              <w:t xml:space="preserve">.  </w:t>
            </w:r>
            <w:r w:rsidR="005F2EDE">
              <w:rPr>
                <w:lang w:val="en-US"/>
              </w:rPr>
              <w:t>While</w:t>
            </w:r>
            <w:r w:rsidR="00B944F1">
              <w:rPr>
                <w:lang w:val="en-US"/>
              </w:rPr>
              <w:t xml:space="preserve"> fees</w:t>
            </w:r>
            <w:r w:rsidR="005F2EDE">
              <w:rPr>
                <w:lang w:val="en-US"/>
              </w:rPr>
              <w:t xml:space="preserve"> levels are</w:t>
            </w:r>
            <w:r w:rsidR="00B944F1">
              <w:rPr>
                <w:lang w:val="en-US"/>
              </w:rPr>
              <w:t xml:space="preserve"> </w:t>
            </w:r>
            <w:r w:rsidR="00470B0B">
              <w:rPr>
                <w:lang w:val="en-US"/>
              </w:rPr>
              <w:t>an important consideration</w:t>
            </w:r>
            <w:r>
              <w:rPr>
                <w:lang w:val="en-US"/>
              </w:rPr>
              <w:t xml:space="preserve"> </w:t>
            </w:r>
            <w:r w:rsidR="005F2EDE">
              <w:rPr>
                <w:lang w:val="en-US"/>
              </w:rPr>
              <w:t xml:space="preserve">the fund believes that </w:t>
            </w:r>
            <w:r>
              <w:rPr>
                <w:lang w:val="en-US"/>
              </w:rPr>
              <w:t>paying</w:t>
            </w:r>
            <w:r w:rsidR="00470B0B">
              <w:rPr>
                <w:lang w:val="en-US"/>
              </w:rPr>
              <w:t xml:space="preserve"> additional fees to deliver out performance through active management of pension</w:t>
            </w:r>
            <w:r w:rsidR="001E39D0">
              <w:rPr>
                <w:lang w:val="en-US"/>
              </w:rPr>
              <w:t xml:space="preserve"> fund investment</w:t>
            </w:r>
            <w:r w:rsidR="005F2EDE">
              <w:rPr>
                <w:lang w:val="en-US"/>
              </w:rPr>
              <w:t>s</w:t>
            </w:r>
            <w:r w:rsidR="001E39D0">
              <w:rPr>
                <w:lang w:val="en-US"/>
              </w:rPr>
              <w:t xml:space="preserve"> is an equally </w:t>
            </w:r>
            <w:r w:rsidR="00470B0B">
              <w:rPr>
                <w:lang w:val="en-US"/>
              </w:rPr>
              <w:t>important consideration</w:t>
            </w:r>
            <w:r>
              <w:rPr>
                <w:lang w:val="en-US"/>
              </w:rPr>
              <w:t>.</w:t>
            </w:r>
            <w:r w:rsidR="00470B0B">
              <w:rPr>
                <w:lang w:val="en-US"/>
              </w:rPr>
              <w:t xml:space="preserve"> </w:t>
            </w:r>
          </w:p>
          <w:p w:rsidR="00970363" w:rsidRDefault="005F2EDE" w:rsidP="00B944F1">
            <w:pPr>
              <w:rPr>
                <w:lang w:val="en-US"/>
              </w:rPr>
            </w:pPr>
            <w:r>
              <w:rPr>
                <w:lang w:val="en-US"/>
              </w:rPr>
              <w:t xml:space="preserve">The fund believes that the overall value for money delivered by a manager </w:t>
            </w:r>
            <w:r w:rsidR="000A181B">
              <w:rPr>
                <w:lang w:val="en-US"/>
              </w:rPr>
              <w:t>is a</w:t>
            </w:r>
            <w:r>
              <w:rPr>
                <w:lang w:val="en-US"/>
              </w:rPr>
              <w:t xml:space="preserve"> more important consideration than fee levels</w:t>
            </w:r>
            <w:r w:rsidR="00970363">
              <w:rPr>
                <w:lang w:val="en-US"/>
              </w:rPr>
              <w:t>.</w:t>
            </w:r>
          </w:p>
          <w:p w:rsidR="00B944F1" w:rsidRDefault="00970363" w:rsidP="00B944F1">
            <w:pPr>
              <w:rPr>
                <w:lang w:val="en-US"/>
              </w:rPr>
            </w:pPr>
            <w:r>
              <w:rPr>
                <w:lang w:val="en-US"/>
              </w:rPr>
              <w:t xml:space="preserve">The fund employs competitive tendering in the </w:t>
            </w:r>
            <w:r w:rsidR="000A181B">
              <w:rPr>
                <w:lang w:val="en-US"/>
              </w:rPr>
              <w:t>procurement of</w:t>
            </w:r>
            <w:r>
              <w:rPr>
                <w:lang w:val="en-US"/>
              </w:rPr>
              <w:t xml:space="preserve"> investment managers and in the procurement of other services including investment advisors, tax advice, custodian services and for actuarial services thereby ensuring best value is delivered.</w:t>
            </w:r>
            <w:r w:rsidR="004606C8">
              <w:rPr>
                <w:lang w:val="en-US"/>
              </w:rPr>
              <w:t xml:space="preserve">  SBCPF uses the Norfolk Framework which is an excellent example of collaborative working across LGPS funds across the UK.</w:t>
            </w:r>
          </w:p>
          <w:p w:rsidR="00470B0B" w:rsidRPr="00CD5218" w:rsidRDefault="00CB2A52" w:rsidP="00B944F1">
            <w:pPr>
              <w:rPr>
                <w:b/>
              </w:rPr>
            </w:pPr>
            <w:r w:rsidRPr="00CD5218">
              <w:rPr>
                <w:b/>
              </w:rPr>
              <w:t>How would you improve the measurement and management of investment costs in the current system?</w:t>
            </w:r>
          </w:p>
          <w:p w:rsidR="00470B0B" w:rsidRPr="001E39D0" w:rsidRDefault="003870F3" w:rsidP="005547AC">
            <w:pPr>
              <w:pStyle w:val="Question"/>
              <w:numPr>
                <w:ilvl w:val="0"/>
                <w:numId w:val="0"/>
              </w:numPr>
              <w:rPr>
                <w:i w:val="0"/>
              </w:rPr>
            </w:pPr>
            <w:r>
              <w:rPr>
                <w:i w:val="0"/>
              </w:rPr>
              <w:t>SB</w:t>
            </w:r>
            <w:r w:rsidR="005F2EDE">
              <w:rPr>
                <w:i w:val="0"/>
              </w:rPr>
              <w:t xml:space="preserve">PF already has a good understanding of the costs of investment including layered fees in our alternative mandates.  </w:t>
            </w:r>
            <w:r w:rsidR="00470B0B" w:rsidRPr="001E39D0">
              <w:rPr>
                <w:i w:val="0"/>
              </w:rPr>
              <w:t xml:space="preserve">All fund managers employed </w:t>
            </w:r>
            <w:r w:rsidR="00000194" w:rsidRPr="001E39D0">
              <w:rPr>
                <w:i w:val="0"/>
              </w:rPr>
              <w:t>by the LGPS</w:t>
            </w:r>
            <w:r w:rsidR="009D0557" w:rsidRPr="001E39D0">
              <w:rPr>
                <w:i w:val="0"/>
              </w:rPr>
              <w:t xml:space="preserve"> should be </w:t>
            </w:r>
            <w:r w:rsidR="00000194" w:rsidRPr="001E39D0">
              <w:rPr>
                <w:i w:val="0"/>
              </w:rPr>
              <w:t>required to</w:t>
            </w:r>
            <w:r w:rsidR="00470B0B" w:rsidRPr="001E39D0">
              <w:rPr>
                <w:i w:val="0"/>
              </w:rPr>
              <w:t xml:space="preserve"> disclose their full fee structure in li</w:t>
            </w:r>
            <w:r w:rsidR="00000194" w:rsidRPr="001E39D0">
              <w:rPr>
                <w:i w:val="0"/>
              </w:rPr>
              <w:t>n</w:t>
            </w:r>
            <w:r w:rsidR="00470B0B" w:rsidRPr="001E39D0">
              <w:rPr>
                <w:i w:val="0"/>
              </w:rPr>
              <w:t>e with the</w:t>
            </w:r>
            <w:r w:rsidR="009D0557" w:rsidRPr="001E39D0">
              <w:rPr>
                <w:i w:val="0"/>
              </w:rPr>
              <w:t xml:space="preserve"> fee transparency code </w:t>
            </w:r>
          </w:p>
          <w:p w:rsidR="00470B0B" w:rsidRPr="00470B0B" w:rsidRDefault="005547AC" w:rsidP="00470B0B">
            <w:pPr>
              <w:rPr>
                <w:lang w:val="en-US"/>
              </w:rPr>
            </w:pPr>
            <w:r>
              <w:rPr>
                <w:lang w:val="en-US"/>
              </w:rPr>
              <w:t>The sharing of detailed information on fee rates per managers across all funds in England, Wales and Scotland would allow clear comparison of rates and aid funds in their discussion with Managers.</w:t>
            </w:r>
          </w:p>
          <w:p w:rsidR="00CB2A52" w:rsidRPr="00CD5218" w:rsidRDefault="00CB2A52" w:rsidP="003803EE">
            <w:pPr>
              <w:pStyle w:val="ListNumber"/>
              <w:numPr>
                <w:ilvl w:val="0"/>
                <w:numId w:val="4"/>
              </w:numPr>
            </w:pPr>
            <w:r w:rsidRPr="00CD5218">
              <w:t xml:space="preserve">Governance: </w:t>
            </w:r>
          </w:p>
          <w:p w:rsidR="001E39D0" w:rsidRPr="00CD5218" w:rsidRDefault="00CB2A52" w:rsidP="00000194">
            <w:pPr>
              <w:pStyle w:val="Question"/>
              <w:numPr>
                <w:ilvl w:val="0"/>
                <w:numId w:val="0"/>
              </w:numPr>
              <w:ind w:left="284"/>
              <w:rPr>
                <w:b/>
              </w:rPr>
            </w:pPr>
            <w:r w:rsidRPr="00CD5218">
              <w:rPr>
                <w:b/>
              </w:rPr>
              <w:t xml:space="preserve">How well informed do you feel about the governance of your fund? What </w:t>
            </w:r>
            <w:r w:rsidRPr="00CD5218">
              <w:rPr>
                <w:b/>
              </w:rPr>
              <w:lastRenderedPageBreak/>
              <w:t>information do you rely on to measure this?</w:t>
            </w:r>
            <w:r w:rsidR="00000194" w:rsidRPr="00CD5218">
              <w:rPr>
                <w:b/>
              </w:rPr>
              <w:t xml:space="preserve">  </w:t>
            </w:r>
          </w:p>
          <w:p w:rsidR="000E5376" w:rsidRDefault="005F2EDE" w:rsidP="00273FDE">
            <w:pPr>
              <w:pStyle w:val="Question"/>
              <w:numPr>
                <w:ilvl w:val="0"/>
                <w:numId w:val="0"/>
              </w:numPr>
              <w:ind w:left="284"/>
              <w:rPr>
                <w:i w:val="0"/>
              </w:rPr>
            </w:pPr>
            <w:r>
              <w:rPr>
                <w:i w:val="0"/>
              </w:rPr>
              <w:t>T</w:t>
            </w:r>
            <w:r w:rsidR="003A6F96">
              <w:rPr>
                <w:i w:val="0"/>
              </w:rPr>
              <w:t>he SBPF is audited on an annual</w:t>
            </w:r>
            <w:r>
              <w:rPr>
                <w:i w:val="0"/>
              </w:rPr>
              <w:t xml:space="preserve"> basis by Audit Scotland</w:t>
            </w:r>
            <w:r w:rsidR="003A6F96">
              <w:rPr>
                <w:i w:val="0"/>
              </w:rPr>
              <w:t>.  The 2017/18 audit of the pension</w:t>
            </w:r>
            <w:r w:rsidR="00CD5218">
              <w:rPr>
                <w:i w:val="0"/>
              </w:rPr>
              <w:t xml:space="preserve"> fund </w:t>
            </w:r>
            <w:r w:rsidR="003A6F96">
              <w:rPr>
                <w:i w:val="0"/>
              </w:rPr>
              <w:t xml:space="preserve">concluded positively on the governance of the fund noting </w:t>
            </w:r>
            <w:r w:rsidR="003803EE">
              <w:rPr>
                <w:i w:val="0"/>
              </w:rPr>
              <w:t>“the</w:t>
            </w:r>
            <w:r w:rsidR="003A6F96">
              <w:rPr>
                <w:i w:val="0"/>
              </w:rPr>
              <w:t xml:space="preserve"> fund has effective governance arrangements in place that support the scrutiny of decisions made by the pension fund committee.” </w:t>
            </w:r>
          </w:p>
          <w:p w:rsidR="000E5376" w:rsidRDefault="003A6F96" w:rsidP="00273FDE">
            <w:pPr>
              <w:pStyle w:val="Question"/>
              <w:numPr>
                <w:ilvl w:val="0"/>
                <w:numId w:val="0"/>
              </w:numPr>
              <w:ind w:left="284"/>
              <w:rPr>
                <w:i w:val="0"/>
              </w:rPr>
            </w:pPr>
            <w:r>
              <w:rPr>
                <w:i w:val="0"/>
              </w:rPr>
              <w:t>The recent advent of Pension Boards, with local employee membership</w:t>
            </w:r>
            <w:r w:rsidR="000E5376">
              <w:rPr>
                <w:i w:val="0"/>
              </w:rPr>
              <w:t>,</w:t>
            </w:r>
            <w:r>
              <w:rPr>
                <w:i w:val="0"/>
              </w:rPr>
              <w:t xml:space="preserve"> has added a further positive dimension to the governance </w:t>
            </w:r>
            <w:r w:rsidR="00970363">
              <w:rPr>
                <w:i w:val="0"/>
              </w:rPr>
              <w:t xml:space="preserve">of the pension </w:t>
            </w:r>
            <w:r>
              <w:rPr>
                <w:i w:val="0"/>
              </w:rPr>
              <w:t>fund.</w:t>
            </w:r>
            <w:r w:rsidR="005F2EDE">
              <w:rPr>
                <w:i w:val="0"/>
              </w:rPr>
              <w:t xml:space="preserve"> </w:t>
            </w:r>
          </w:p>
          <w:p w:rsidR="000E5376" w:rsidRDefault="00970363" w:rsidP="00273FDE">
            <w:pPr>
              <w:pStyle w:val="Question"/>
              <w:numPr>
                <w:ilvl w:val="0"/>
                <w:numId w:val="0"/>
              </w:numPr>
              <w:ind w:left="284"/>
              <w:rPr>
                <w:i w:val="0"/>
              </w:rPr>
            </w:pPr>
            <w:r>
              <w:rPr>
                <w:i w:val="0"/>
              </w:rPr>
              <w:t xml:space="preserve">The fund </w:t>
            </w:r>
            <w:r w:rsidR="000E5376">
              <w:rPr>
                <w:i w:val="0"/>
              </w:rPr>
              <w:t>undertakes</w:t>
            </w:r>
            <w:r>
              <w:rPr>
                <w:i w:val="0"/>
              </w:rPr>
              <w:t xml:space="preserve"> </w:t>
            </w:r>
            <w:r w:rsidR="000A181B">
              <w:rPr>
                <w:i w:val="0"/>
              </w:rPr>
              <w:t>benchmarking</w:t>
            </w:r>
            <w:r>
              <w:rPr>
                <w:i w:val="0"/>
              </w:rPr>
              <w:t xml:space="preserve"> of the outputs of the fund</w:t>
            </w:r>
            <w:r w:rsidR="000E5376">
              <w:rPr>
                <w:i w:val="0"/>
              </w:rPr>
              <w:t>,</w:t>
            </w:r>
            <w:r>
              <w:rPr>
                <w:i w:val="0"/>
              </w:rPr>
              <w:t xml:space="preserve"> including investment performance, funding level</w:t>
            </w:r>
            <w:r w:rsidR="000E5376">
              <w:rPr>
                <w:i w:val="0"/>
              </w:rPr>
              <w:t>, expenses</w:t>
            </w:r>
            <w:r>
              <w:rPr>
                <w:i w:val="0"/>
              </w:rPr>
              <w:t xml:space="preserve"> and contribution rates to assess its performance</w:t>
            </w:r>
            <w:r w:rsidR="00273FDE">
              <w:rPr>
                <w:i w:val="0"/>
              </w:rPr>
              <w:t xml:space="preserve">.  </w:t>
            </w:r>
          </w:p>
          <w:p w:rsidR="000E5376" w:rsidRDefault="000A181B" w:rsidP="00273FDE">
            <w:pPr>
              <w:pStyle w:val="Question"/>
              <w:numPr>
                <w:ilvl w:val="0"/>
                <w:numId w:val="0"/>
              </w:numPr>
              <w:ind w:left="284"/>
              <w:rPr>
                <w:i w:val="0"/>
              </w:rPr>
            </w:pPr>
            <w:r>
              <w:rPr>
                <w:i w:val="0"/>
              </w:rPr>
              <w:t xml:space="preserve">It publishes an annual Governance Statement under the 2014 regulations to demonstrate compliance with the governance standards required by Scottish Ministers.  </w:t>
            </w:r>
            <w:r w:rsidR="00273FDE">
              <w:rPr>
                <w:i w:val="0"/>
              </w:rPr>
              <w:t xml:space="preserve">These standards are established via a number of best practice principles and the </w:t>
            </w:r>
            <w:r w:rsidR="000E5376">
              <w:rPr>
                <w:i w:val="0"/>
              </w:rPr>
              <w:t xml:space="preserve">fund is able to </w:t>
            </w:r>
            <w:r w:rsidR="00273FDE">
              <w:rPr>
                <w:i w:val="0"/>
              </w:rPr>
              <w:t xml:space="preserve">objectively measure its compliance against these standards.  </w:t>
            </w:r>
          </w:p>
          <w:p w:rsidR="005547AC" w:rsidRDefault="00273FDE" w:rsidP="005547AC">
            <w:pPr>
              <w:pStyle w:val="Question"/>
              <w:numPr>
                <w:ilvl w:val="0"/>
                <w:numId w:val="0"/>
              </w:numPr>
              <w:ind w:left="284"/>
            </w:pPr>
            <w:r>
              <w:rPr>
                <w:i w:val="0"/>
              </w:rPr>
              <w:t xml:space="preserve">The fund </w:t>
            </w:r>
            <w:r w:rsidR="000A181B">
              <w:rPr>
                <w:i w:val="0"/>
              </w:rPr>
              <w:t>also</w:t>
            </w:r>
            <w:r>
              <w:rPr>
                <w:i w:val="0"/>
              </w:rPr>
              <w:t xml:space="preserve"> measures its compliance against the Myners </w:t>
            </w:r>
            <w:r w:rsidR="000A181B">
              <w:rPr>
                <w:i w:val="0"/>
              </w:rPr>
              <w:t>principles</w:t>
            </w:r>
            <w:r>
              <w:rPr>
                <w:i w:val="0"/>
              </w:rPr>
              <w:t xml:space="preserve"> which reflect best practice guidance issued by CIPFA covering the effectiveness </w:t>
            </w:r>
            <w:r w:rsidR="000A181B">
              <w:rPr>
                <w:i w:val="0"/>
              </w:rPr>
              <w:t>of decision</w:t>
            </w:r>
            <w:r>
              <w:rPr>
                <w:i w:val="0"/>
              </w:rPr>
              <w:t xml:space="preserve"> making, the setting of clear objectives for the fund, </w:t>
            </w:r>
            <w:r w:rsidR="000E5376">
              <w:rPr>
                <w:i w:val="0"/>
              </w:rPr>
              <w:t xml:space="preserve">the </w:t>
            </w:r>
            <w:r>
              <w:rPr>
                <w:i w:val="0"/>
              </w:rPr>
              <w:t xml:space="preserve">understanding of risks and liabilities, performance assessment, responsible </w:t>
            </w:r>
            <w:r w:rsidR="000E5376">
              <w:rPr>
                <w:i w:val="0"/>
              </w:rPr>
              <w:t xml:space="preserve">ownership, </w:t>
            </w:r>
            <w:r>
              <w:rPr>
                <w:i w:val="0"/>
              </w:rPr>
              <w:t>transparency and reporting.</w:t>
            </w:r>
            <w:r w:rsidR="00970363">
              <w:rPr>
                <w:i w:val="0"/>
              </w:rPr>
              <w:t xml:space="preserve"> </w:t>
            </w:r>
          </w:p>
          <w:p w:rsidR="005547AC" w:rsidRPr="008E2F54" w:rsidRDefault="003870F3" w:rsidP="005547AC">
            <w:pPr>
              <w:ind w:left="284"/>
              <w:rPr>
                <w:lang w:val="en-US"/>
              </w:rPr>
            </w:pPr>
            <w:r>
              <w:rPr>
                <w:lang w:val="en-US"/>
              </w:rPr>
              <w:t>SB</w:t>
            </w:r>
            <w:r w:rsidR="005547AC">
              <w:rPr>
                <w:lang w:val="en-US"/>
              </w:rPr>
              <w:t>PF have a strong training policy which is monitored on an annual basis.  All members of the Committee and Board are required to complete The Pension Regulator Trustee Toolkit within 6 months and must meet annual training requirements.</w:t>
            </w:r>
          </w:p>
          <w:p w:rsidR="004A1B14" w:rsidRPr="00CD5218" w:rsidRDefault="00CB2A52" w:rsidP="005547AC">
            <w:pPr>
              <w:pStyle w:val="Question"/>
              <w:numPr>
                <w:ilvl w:val="0"/>
                <w:numId w:val="15"/>
              </w:numPr>
              <w:ind w:left="426" w:hanging="426"/>
              <w:rPr>
                <w:b/>
              </w:rPr>
            </w:pPr>
            <w:r w:rsidRPr="00CD5218">
              <w:rPr>
                <w:b/>
              </w:rPr>
              <w:t>How well is the current system governed?</w:t>
            </w:r>
          </w:p>
          <w:p w:rsidR="008927CC" w:rsidRPr="008927CC" w:rsidRDefault="00273FDE" w:rsidP="008927CC">
            <w:pPr>
              <w:rPr>
                <w:lang w:val="en-US"/>
              </w:rPr>
            </w:pPr>
            <w:r>
              <w:rPr>
                <w:lang w:val="en-US"/>
              </w:rPr>
              <w:t xml:space="preserve">The 2016 KPMG </w:t>
            </w:r>
            <w:r w:rsidR="008927CC">
              <w:rPr>
                <w:lang w:val="en-US"/>
              </w:rPr>
              <w:t xml:space="preserve">review </w:t>
            </w:r>
            <w:r>
              <w:rPr>
                <w:lang w:val="en-US"/>
              </w:rPr>
              <w:t xml:space="preserve">of the governance of the LGPS </w:t>
            </w:r>
            <w:r w:rsidR="000A181B">
              <w:rPr>
                <w:lang w:val="en-US"/>
              </w:rPr>
              <w:t>concluded</w:t>
            </w:r>
            <w:r>
              <w:rPr>
                <w:lang w:val="en-US"/>
              </w:rPr>
              <w:t xml:space="preserve"> positively with r</w:t>
            </w:r>
            <w:r w:rsidR="00C2648E">
              <w:rPr>
                <w:lang w:val="en-US"/>
              </w:rPr>
              <w:t>egar</w:t>
            </w:r>
            <w:r>
              <w:rPr>
                <w:lang w:val="en-US"/>
              </w:rPr>
              <w:t>d</w:t>
            </w:r>
            <w:r w:rsidR="00C2648E">
              <w:rPr>
                <w:lang w:val="en-US"/>
              </w:rPr>
              <w:t>s</w:t>
            </w:r>
            <w:r>
              <w:rPr>
                <w:lang w:val="en-US"/>
              </w:rPr>
              <w:t xml:space="preserve"> to the standard of governance </w:t>
            </w:r>
            <w:r w:rsidR="00E8158F">
              <w:rPr>
                <w:lang w:val="en-US"/>
              </w:rPr>
              <w:t xml:space="preserve">in place across the LGPS in Scotland. </w:t>
            </w:r>
          </w:p>
          <w:p w:rsidR="00E8158F" w:rsidRDefault="00E8158F" w:rsidP="00000194">
            <w:pPr>
              <w:pStyle w:val="Question"/>
              <w:numPr>
                <w:ilvl w:val="0"/>
                <w:numId w:val="0"/>
              </w:numPr>
              <w:ind w:left="284"/>
              <w:rPr>
                <w:i w:val="0"/>
              </w:rPr>
            </w:pPr>
            <w:r>
              <w:rPr>
                <w:i w:val="0"/>
              </w:rPr>
              <w:t>P</w:t>
            </w:r>
            <w:r w:rsidR="004A1B14" w:rsidRPr="00E8158F">
              <w:rPr>
                <w:i w:val="0"/>
              </w:rPr>
              <w:t>e</w:t>
            </w:r>
            <w:r>
              <w:rPr>
                <w:i w:val="0"/>
              </w:rPr>
              <w:t>nsion F</w:t>
            </w:r>
            <w:r w:rsidR="00FC2289" w:rsidRPr="00E8158F">
              <w:rPr>
                <w:i w:val="0"/>
              </w:rPr>
              <w:t>und Boards</w:t>
            </w:r>
            <w:r w:rsidR="000E5376">
              <w:rPr>
                <w:i w:val="0"/>
              </w:rPr>
              <w:t>,</w:t>
            </w:r>
            <w:r w:rsidR="00FC2289" w:rsidRPr="00E8158F">
              <w:rPr>
                <w:i w:val="0"/>
              </w:rPr>
              <w:t xml:space="preserve"> </w:t>
            </w:r>
            <w:r w:rsidR="000A181B">
              <w:rPr>
                <w:i w:val="0"/>
              </w:rPr>
              <w:t>although</w:t>
            </w:r>
            <w:r w:rsidR="00273FDE">
              <w:rPr>
                <w:i w:val="0"/>
              </w:rPr>
              <w:t xml:space="preserve"> only introduced in 2015</w:t>
            </w:r>
            <w:r w:rsidR="000E5376">
              <w:rPr>
                <w:i w:val="0"/>
              </w:rPr>
              <w:t>,</w:t>
            </w:r>
            <w:r w:rsidR="00273FDE">
              <w:rPr>
                <w:i w:val="0"/>
              </w:rPr>
              <w:t xml:space="preserve"> have added a further positive dimension ensuring </w:t>
            </w:r>
            <w:r w:rsidR="000A181B">
              <w:rPr>
                <w:i w:val="0"/>
              </w:rPr>
              <w:t>scrutiny</w:t>
            </w:r>
            <w:r w:rsidR="00273FDE">
              <w:rPr>
                <w:i w:val="0"/>
              </w:rPr>
              <w:t xml:space="preserve"> of pension fund committee </w:t>
            </w:r>
            <w:r w:rsidR="000A181B">
              <w:rPr>
                <w:i w:val="0"/>
              </w:rPr>
              <w:t>decisions</w:t>
            </w:r>
            <w:r w:rsidR="00273FDE">
              <w:rPr>
                <w:i w:val="0"/>
              </w:rPr>
              <w:t xml:space="preserve"> and </w:t>
            </w:r>
            <w:r w:rsidR="000E5376">
              <w:rPr>
                <w:i w:val="0"/>
              </w:rPr>
              <w:t xml:space="preserve">the </w:t>
            </w:r>
            <w:r w:rsidR="00273FDE">
              <w:rPr>
                <w:i w:val="0"/>
              </w:rPr>
              <w:t xml:space="preserve">effective </w:t>
            </w:r>
            <w:r w:rsidR="000A181B">
              <w:rPr>
                <w:i w:val="0"/>
              </w:rPr>
              <w:t>engagement</w:t>
            </w:r>
            <w:r w:rsidR="00273FDE">
              <w:rPr>
                <w:i w:val="0"/>
              </w:rPr>
              <w:t xml:space="preserve"> of employee representatives in the </w:t>
            </w:r>
            <w:r w:rsidR="000A181B">
              <w:rPr>
                <w:i w:val="0"/>
              </w:rPr>
              <w:t>management</w:t>
            </w:r>
            <w:r w:rsidR="00273FDE">
              <w:rPr>
                <w:i w:val="0"/>
              </w:rPr>
              <w:t xml:space="preserve"> of pension funds.</w:t>
            </w:r>
          </w:p>
          <w:p w:rsidR="00FC2289" w:rsidRPr="00E8158F" w:rsidRDefault="00E8158F" w:rsidP="004A1B14">
            <w:pPr>
              <w:pStyle w:val="Question"/>
              <w:numPr>
                <w:ilvl w:val="0"/>
                <w:numId w:val="0"/>
              </w:numPr>
              <w:rPr>
                <w:i w:val="0"/>
              </w:rPr>
            </w:pPr>
            <w:r w:rsidRPr="00E8158F">
              <w:rPr>
                <w:i w:val="0"/>
              </w:rPr>
              <w:t xml:space="preserve">Statutory external Audit of the LGPS </w:t>
            </w:r>
            <w:r>
              <w:rPr>
                <w:i w:val="0"/>
              </w:rPr>
              <w:t xml:space="preserve">funds </w:t>
            </w:r>
            <w:r w:rsidR="000A181B" w:rsidRPr="00E8158F">
              <w:rPr>
                <w:i w:val="0"/>
              </w:rPr>
              <w:t>is</w:t>
            </w:r>
            <w:r w:rsidRPr="00E8158F">
              <w:rPr>
                <w:i w:val="0"/>
              </w:rPr>
              <w:t xml:space="preserve"> undertaken annually.  These do</w:t>
            </w:r>
            <w:r w:rsidR="004A1B14" w:rsidRPr="00E8158F">
              <w:rPr>
                <w:i w:val="0"/>
              </w:rPr>
              <w:t xml:space="preserve"> not highlight any concerns </w:t>
            </w:r>
            <w:r w:rsidRPr="00E8158F">
              <w:rPr>
                <w:i w:val="0"/>
              </w:rPr>
              <w:t>with the</w:t>
            </w:r>
            <w:r w:rsidR="004A1B14" w:rsidRPr="00E8158F">
              <w:rPr>
                <w:i w:val="0"/>
              </w:rPr>
              <w:t xml:space="preserve"> current governance arrangem</w:t>
            </w:r>
            <w:r w:rsidR="00FC2289" w:rsidRPr="00E8158F">
              <w:rPr>
                <w:i w:val="0"/>
              </w:rPr>
              <w:t>e</w:t>
            </w:r>
            <w:r w:rsidR="004A1B14" w:rsidRPr="00E8158F">
              <w:rPr>
                <w:i w:val="0"/>
              </w:rPr>
              <w:t>nts in</w:t>
            </w:r>
            <w:r w:rsidRPr="00E8158F">
              <w:rPr>
                <w:i w:val="0"/>
              </w:rPr>
              <w:t xml:space="preserve"> place across</w:t>
            </w:r>
            <w:r w:rsidR="004A1B14" w:rsidRPr="00E8158F">
              <w:rPr>
                <w:i w:val="0"/>
              </w:rPr>
              <w:t xml:space="preserve"> funds</w:t>
            </w:r>
            <w:r w:rsidR="00FC2289" w:rsidRPr="00E8158F">
              <w:rPr>
                <w:i w:val="0"/>
              </w:rPr>
              <w:t>.</w:t>
            </w:r>
          </w:p>
          <w:p w:rsidR="00CB2A52" w:rsidRPr="00E8158F" w:rsidRDefault="00FC2289" w:rsidP="004A1B14">
            <w:pPr>
              <w:pStyle w:val="Question"/>
              <w:numPr>
                <w:ilvl w:val="0"/>
                <w:numId w:val="0"/>
              </w:numPr>
              <w:rPr>
                <w:i w:val="0"/>
              </w:rPr>
            </w:pPr>
            <w:r w:rsidRPr="00E8158F">
              <w:rPr>
                <w:i w:val="0"/>
              </w:rPr>
              <w:t>All funds are required to comply with the requirement of M</w:t>
            </w:r>
            <w:r w:rsidR="00C2648E">
              <w:rPr>
                <w:i w:val="0"/>
              </w:rPr>
              <w:t>i</w:t>
            </w:r>
            <w:r w:rsidRPr="00E8158F">
              <w:rPr>
                <w:i w:val="0"/>
              </w:rPr>
              <w:t xml:space="preserve">FID 2 </w:t>
            </w:r>
            <w:r w:rsidR="00CB2A52" w:rsidRPr="00E8158F">
              <w:rPr>
                <w:i w:val="0"/>
              </w:rPr>
              <w:t xml:space="preserve">  </w:t>
            </w:r>
          </w:p>
          <w:p w:rsidR="00CB2A52" w:rsidRPr="00CD5218" w:rsidRDefault="00CB2A52" w:rsidP="00C22506">
            <w:pPr>
              <w:pStyle w:val="Question"/>
              <w:rPr>
                <w:b/>
              </w:rPr>
            </w:pPr>
            <w:r w:rsidRPr="00CD5218">
              <w:rPr>
                <w:b/>
              </w:rPr>
              <w:t xml:space="preserve">How would you improve governance of the current system? </w:t>
            </w:r>
          </w:p>
          <w:p w:rsidR="00E77E31" w:rsidRDefault="00E77E31" w:rsidP="004A1B14">
            <w:pPr>
              <w:rPr>
                <w:lang w:val="en-US"/>
              </w:rPr>
            </w:pPr>
            <w:r>
              <w:rPr>
                <w:lang w:val="en-US"/>
              </w:rPr>
              <w:t xml:space="preserve">The KPMG review of the system outlined no fundamental weaknesses in the LGPS governance model in Scotland.  </w:t>
            </w:r>
          </w:p>
          <w:p w:rsidR="000E5376" w:rsidRDefault="00C2648E" w:rsidP="004A1B14">
            <w:pPr>
              <w:rPr>
                <w:lang w:val="en-US"/>
              </w:rPr>
            </w:pPr>
            <w:r>
              <w:rPr>
                <w:lang w:val="en-US"/>
              </w:rPr>
              <w:t>All funds should be required to publish information regarding their investment s</w:t>
            </w:r>
            <w:r w:rsidR="000E5376">
              <w:rPr>
                <w:lang w:val="en-US"/>
              </w:rPr>
              <w:t>trategy, actuarial report and funding assumptions as well as</w:t>
            </w:r>
            <w:r>
              <w:rPr>
                <w:lang w:val="en-US"/>
              </w:rPr>
              <w:t xml:space="preserve"> performance and key policy </w:t>
            </w:r>
            <w:r>
              <w:rPr>
                <w:lang w:val="en-US"/>
              </w:rPr>
              <w:lastRenderedPageBreak/>
              <w:t xml:space="preserve">documents for example the statement of investment principles or </w:t>
            </w:r>
            <w:r w:rsidR="000E5376">
              <w:rPr>
                <w:lang w:val="en-US"/>
              </w:rPr>
              <w:t xml:space="preserve">their </w:t>
            </w:r>
            <w:r>
              <w:rPr>
                <w:lang w:val="en-US"/>
              </w:rPr>
              <w:t xml:space="preserve">ESG policies.  </w:t>
            </w:r>
          </w:p>
          <w:p w:rsidR="000E5376" w:rsidRDefault="00C2648E" w:rsidP="004A1B14">
            <w:pPr>
              <w:rPr>
                <w:lang w:val="en-US"/>
              </w:rPr>
            </w:pPr>
            <w:r>
              <w:rPr>
                <w:lang w:val="en-US"/>
              </w:rPr>
              <w:t xml:space="preserve">Pension Fund committees </w:t>
            </w:r>
            <w:r w:rsidR="000E5376">
              <w:rPr>
                <w:lang w:val="en-US"/>
              </w:rPr>
              <w:t>should meet jointly with P</w:t>
            </w:r>
            <w:r>
              <w:rPr>
                <w:lang w:val="en-US"/>
              </w:rPr>
              <w:t xml:space="preserve">ension Boards on a regular basis and committee meetings should be held in public wherever possible.  </w:t>
            </w:r>
          </w:p>
          <w:p w:rsidR="00C2648E" w:rsidRDefault="00C2648E" w:rsidP="004A1B14">
            <w:pPr>
              <w:rPr>
                <w:lang w:val="en-US"/>
              </w:rPr>
            </w:pPr>
            <w:r>
              <w:rPr>
                <w:lang w:val="en-US"/>
              </w:rPr>
              <w:t xml:space="preserve">The minutes of meetings should be published. </w:t>
            </w:r>
          </w:p>
          <w:p w:rsidR="005547AC" w:rsidRDefault="003870F3" w:rsidP="004A1B14">
            <w:pPr>
              <w:rPr>
                <w:lang w:val="en-US"/>
              </w:rPr>
            </w:pPr>
            <w:r>
              <w:rPr>
                <w:lang w:val="en-US"/>
              </w:rPr>
              <w:t>SB</w:t>
            </w:r>
            <w:r w:rsidR="005547AC">
              <w:rPr>
                <w:lang w:val="en-US"/>
              </w:rPr>
              <w:t>PF meets all these requirements.</w:t>
            </w:r>
          </w:p>
          <w:p w:rsidR="005547AC" w:rsidRPr="004A1B14" w:rsidRDefault="005547AC" w:rsidP="004A1B14">
            <w:pPr>
              <w:rPr>
                <w:lang w:val="en-US"/>
              </w:rPr>
            </w:pPr>
            <w:r>
              <w:rPr>
                <w:lang w:val="en-US"/>
              </w:rPr>
              <w:t>The introduction of Boards and the Scheme Advisory Board has added an extra layer of governance and oversite and the Fund believes a strong proactive Scheme Advisory Board has the potential to ensure all funds are fully meeting the required standards of governance and oversight.</w:t>
            </w:r>
          </w:p>
          <w:p w:rsidR="00CB2A52" w:rsidRPr="00CD5218" w:rsidRDefault="00CB2A52" w:rsidP="00C22506">
            <w:pPr>
              <w:pStyle w:val="Question"/>
              <w:rPr>
                <w:b/>
              </w:rPr>
            </w:pPr>
            <w:r w:rsidRPr="00CD5218">
              <w:rPr>
                <w:b/>
              </w:rPr>
              <w:t>How important is it to maintain a local connection with respect to oversight and strategy?</w:t>
            </w:r>
          </w:p>
          <w:p w:rsidR="009E1FE2" w:rsidRDefault="00C2648E" w:rsidP="00C866B8">
            <w:pPr>
              <w:rPr>
                <w:lang w:val="en-US"/>
              </w:rPr>
            </w:pPr>
            <w:r>
              <w:rPr>
                <w:lang w:val="en-US"/>
              </w:rPr>
              <w:t>The L</w:t>
            </w:r>
            <w:r w:rsidR="003870F3">
              <w:rPr>
                <w:lang w:val="en-US"/>
              </w:rPr>
              <w:t>GPS is a local service.  The SB</w:t>
            </w:r>
            <w:r>
              <w:rPr>
                <w:lang w:val="en-US"/>
              </w:rPr>
              <w:t>PF beli</w:t>
            </w:r>
            <w:r w:rsidR="009E1FE2">
              <w:rPr>
                <w:lang w:val="en-US"/>
              </w:rPr>
              <w:t>e</w:t>
            </w:r>
            <w:r>
              <w:rPr>
                <w:lang w:val="en-US"/>
              </w:rPr>
              <w:t xml:space="preserve">ves that </w:t>
            </w:r>
            <w:r w:rsidR="000A181B">
              <w:rPr>
                <w:lang w:val="en-US"/>
              </w:rPr>
              <w:t>decisions</w:t>
            </w:r>
            <w:r w:rsidR="009E1FE2">
              <w:rPr>
                <w:lang w:val="en-US"/>
              </w:rPr>
              <w:t xml:space="preserve"> </w:t>
            </w:r>
            <w:r>
              <w:rPr>
                <w:lang w:val="en-US"/>
              </w:rPr>
              <w:t xml:space="preserve">that affect local people are best made locally by elected members and that these decisions </w:t>
            </w:r>
            <w:r w:rsidR="009E1FE2">
              <w:rPr>
                <w:lang w:val="en-US"/>
              </w:rPr>
              <w:t>should be</w:t>
            </w:r>
            <w:r w:rsidR="00E77E31">
              <w:rPr>
                <w:lang w:val="en-US"/>
              </w:rPr>
              <w:t xml:space="preserve"> </w:t>
            </w:r>
            <w:r>
              <w:rPr>
                <w:lang w:val="en-US"/>
              </w:rPr>
              <w:t xml:space="preserve">as </w:t>
            </w:r>
            <w:r w:rsidR="00E77E31">
              <w:rPr>
                <w:lang w:val="en-US"/>
              </w:rPr>
              <w:t xml:space="preserve">transparent and open as possible.  </w:t>
            </w:r>
          </w:p>
          <w:p w:rsidR="000E5376" w:rsidRDefault="00C2648E" w:rsidP="00C866B8">
            <w:pPr>
              <w:rPr>
                <w:lang w:val="en-US"/>
              </w:rPr>
            </w:pPr>
            <w:r>
              <w:rPr>
                <w:lang w:val="en-US"/>
              </w:rPr>
              <w:t>The costs of the LGPS are a significant component of the costs of empl</w:t>
            </w:r>
            <w:r w:rsidR="009E1FE2">
              <w:rPr>
                <w:lang w:val="en-US"/>
              </w:rPr>
              <w:t>o</w:t>
            </w:r>
            <w:r>
              <w:rPr>
                <w:lang w:val="en-US"/>
              </w:rPr>
              <w:t xml:space="preserve">ying staff and </w:t>
            </w:r>
            <w:r w:rsidR="009E1FE2">
              <w:rPr>
                <w:lang w:val="en-US"/>
              </w:rPr>
              <w:t xml:space="preserve">therefore are a significant element </w:t>
            </w:r>
            <w:r>
              <w:rPr>
                <w:lang w:val="en-US"/>
              </w:rPr>
              <w:t>of council budgets</w:t>
            </w:r>
            <w:r w:rsidR="009E1FE2">
              <w:rPr>
                <w:lang w:val="en-US"/>
              </w:rPr>
              <w:t xml:space="preserve"> which local councilors are responsible </w:t>
            </w:r>
            <w:r w:rsidR="000A181B">
              <w:rPr>
                <w:lang w:val="en-US"/>
              </w:rPr>
              <w:t xml:space="preserve">for. </w:t>
            </w:r>
          </w:p>
          <w:p w:rsidR="00E8158F" w:rsidRDefault="00C2648E" w:rsidP="00C866B8">
            <w:pPr>
              <w:rPr>
                <w:lang w:val="en-US"/>
              </w:rPr>
            </w:pPr>
            <w:r>
              <w:rPr>
                <w:lang w:val="en-US"/>
              </w:rPr>
              <w:t>The S</w:t>
            </w:r>
            <w:r w:rsidR="009E1FE2">
              <w:rPr>
                <w:lang w:val="en-US"/>
              </w:rPr>
              <w:t xml:space="preserve">BPF believes it is important therefore that there is effective oversight and scrutiny of pension funds at local level.  This is best achieved where there is close alignment between scheme members and their dependents and those charged with taking decisions.   Such close alignment improves accountability.  Decisions with regard to investments, ethical investment, environmental issues, risk management </w:t>
            </w:r>
            <w:r w:rsidR="000A181B">
              <w:rPr>
                <w:lang w:val="en-US"/>
              </w:rPr>
              <w:t>etc.</w:t>
            </w:r>
            <w:r w:rsidR="009E1FE2">
              <w:rPr>
                <w:lang w:val="en-US"/>
              </w:rPr>
              <w:t xml:space="preserve"> should </w:t>
            </w:r>
            <w:r w:rsidR="00E8158F">
              <w:rPr>
                <w:lang w:val="en-US"/>
              </w:rPr>
              <w:t>kept as local as possible</w:t>
            </w:r>
            <w:r w:rsidR="009E1FE2">
              <w:rPr>
                <w:lang w:val="en-US"/>
              </w:rPr>
              <w:t xml:space="preserve"> so that elected representatives </w:t>
            </w:r>
            <w:r w:rsidR="00E8158F">
              <w:rPr>
                <w:lang w:val="en-US"/>
              </w:rPr>
              <w:t>can be held responsible to their members and the local electorate for their decisions with regard to oversight and strategy</w:t>
            </w:r>
            <w:r w:rsidR="000E5376">
              <w:rPr>
                <w:lang w:val="en-US"/>
              </w:rPr>
              <w:t>,</w:t>
            </w:r>
            <w:r w:rsidR="00E8158F">
              <w:rPr>
                <w:lang w:val="en-US"/>
              </w:rPr>
              <w:t xml:space="preserve"> </w:t>
            </w:r>
            <w:r w:rsidR="009E1FE2">
              <w:rPr>
                <w:lang w:val="en-US"/>
              </w:rPr>
              <w:t>and ultimately</w:t>
            </w:r>
            <w:r w:rsidR="000E5376">
              <w:rPr>
                <w:lang w:val="en-US"/>
              </w:rPr>
              <w:t xml:space="preserve">, </w:t>
            </w:r>
            <w:r w:rsidR="009E1FE2">
              <w:rPr>
                <w:lang w:val="en-US"/>
              </w:rPr>
              <w:t xml:space="preserve"> their stewardship </w:t>
            </w:r>
            <w:r w:rsidR="00E8158F">
              <w:rPr>
                <w:lang w:val="en-US"/>
              </w:rPr>
              <w:t xml:space="preserve">of the pension fund.  The local nature of decision making guarantees an effective voice for employee representatives on pension fund boards.  </w:t>
            </w:r>
          </w:p>
          <w:p w:rsidR="009321FA" w:rsidRDefault="009321FA" w:rsidP="009321FA">
            <w:pPr>
              <w:pStyle w:val="ListParagraph"/>
              <w:numPr>
                <w:ilvl w:val="0"/>
                <w:numId w:val="15"/>
              </w:numPr>
              <w:rPr>
                <w:b/>
                <w:lang w:val="en-US"/>
              </w:rPr>
            </w:pPr>
            <w:r w:rsidRPr="009321FA">
              <w:rPr>
                <w:b/>
                <w:lang w:val="en-US"/>
              </w:rPr>
              <w:t>How would you determine if the benefits of a local connection in governance outweigh the benefits of scale?</w:t>
            </w:r>
          </w:p>
          <w:p w:rsidR="009321FA" w:rsidRPr="009321FA" w:rsidRDefault="009321FA" w:rsidP="009321FA">
            <w:pPr>
              <w:rPr>
                <w:lang w:val="en-US"/>
              </w:rPr>
            </w:pPr>
            <w:r>
              <w:rPr>
                <w:lang w:val="en-US"/>
              </w:rPr>
              <w:t>The Propensity to good governance in any organisation bears no relationship to scale.  There is no evidence that larger size funds perform better or that they have fundamentally lower costs.  There is no evidence to suggest that the current model is not working effectively either in terms of governance standards or in terms of investment performance</w:t>
            </w:r>
          </w:p>
          <w:p w:rsidR="009321FA" w:rsidRPr="009321FA" w:rsidRDefault="009321FA" w:rsidP="003803EE">
            <w:pPr>
              <w:pStyle w:val="ListNumber"/>
            </w:pPr>
            <w:r w:rsidRPr="009321FA">
              <w:t xml:space="preserve">Operating risks: </w:t>
            </w:r>
          </w:p>
          <w:p w:rsidR="00CB2A52" w:rsidRPr="00CD5218" w:rsidRDefault="00437F57" w:rsidP="00C22506">
            <w:pPr>
              <w:pStyle w:val="Question"/>
              <w:rPr>
                <w:b/>
              </w:rPr>
            </w:pPr>
            <w:r>
              <w:rPr>
                <w:b/>
              </w:rPr>
              <w:t>H</w:t>
            </w:r>
            <w:r w:rsidR="00CB2A52" w:rsidRPr="00CD5218">
              <w:rPr>
                <w:b/>
              </w:rPr>
              <w:t>ow well informed do feel about the operating risks of your fund? What information do you rely on to specify and measure these?</w:t>
            </w:r>
          </w:p>
          <w:p w:rsidR="009E3205" w:rsidRDefault="00497D94" w:rsidP="009E3205">
            <w:pPr>
              <w:rPr>
                <w:lang w:val="en-US"/>
              </w:rPr>
            </w:pPr>
            <w:r>
              <w:rPr>
                <w:lang w:val="en-US"/>
              </w:rPr>
              <w:t xml:space="preserve">The pension fund in the </w:t>
            </w:r>
            <w:r w:rsidR="000A181B">
              <w:rPr>
                <w:lang w:val="en-US"/>
              </w:rPr>
              <w:t>Borders holds</w:t>
            </w:r>
            <w:r w:rsidR="00E8158F">
              <w:rPr>
                <w:lang w:val="en-US"/>
              </w:rPr>
              <w:t xml:space="preserve"> regular meetings with their fund managers to assess and understand the risks associated with their investment</w:t>
            </w:r>
            <w:r w:rsidR="000F1E3D">
              <w:rPr>
                <w:lang w:val="en-US"/>
              </w:rPr>
              <w:t>s</w:t>
            </w:r>
            <w:r w:rsidR="00E8158F">
              <w:rPr>
                <w:lang w:val="en-US"/>
              </w:rPr>
              <w:t>.</w:t>
            </w:r>
          </w:p>
          <w:p w:rsidR="00D842D1" w:rsidRDefault="00D842D1" w:rsidP="009E3205">
            <w:pPr>
              <w:rPr>
                <w:lang w:val="en-US"/>
              </w:rPr>
            </w:pPr>
            <w:r>
              <w:rPr>
                <w:lang w:val="en-US"/>
              </w:rPr>
              <w:lastRenderedPageBreak/>
              <w:t>The pension fund has a published risk policy.</w:t>
            </w:r>
          </w:p>
          <w:p w:rsidR="00D842D1" w:rsidRDefault="00D842D1" w:rsidP="009E3205">
            <w:pPr>
              <w:rPr>
                <w:lang w:val="en-US"/>
              </w:rPr>
            </w:pPr>
            <w:r>
              <w:rPr>
                <w:lang w:val="en-US"/>
              </w:rPr>
              <w:t>The risk register is reviewed on a quarterly basis by the P</w:t>
            </w:r>
            <w:r w:rsidR="000E5376">
              <w:rPr>
                <w:lang w:val="en-US"/>
              </w:rPr>
              <w:t>ension Fund C</w:t>
            </w:r>
            <w:r>
              <w:rPr>
                <w:lang w:val="en-US"/>
              </w:rPr>
              <w:t>ommittee.</w:t>
            </w:r>
          </w:p>
          <w:p w:rsidR="00EE71FB" w:rsidRDefault="00D842D1" w:rsidP="009E3205">
            <w:pPr>
              <w:rPr>
                <w:lang w:val="en-US"/>
              </w:rPr>
            </w:pPr>
            <w:r w:rsidRPr="00EE71FB">
              <w:rPr>
                <w:lang w:val="en-US"/>
              </w:rPr>
              <w:t xml:space="preserve">The risk register is publically available </w:t>
            </w:r>
            <w:r w:rsidR="00EE71FB">
              <w:rPr>
                <w:lang w:val="en-US"/>
              </w:rPr>
              <w:t xml:space="preserve">here </w:t>
            </w:r>
            <w:hyperlink r:id="rId17" w:history="1">
              <w:r w:rsidR="00EE71FB" w:rsidRPr="00EE71FB">
                <w:rPr>
                  <w:rStyle w:val="Hyperlink"/>
                  <w:lang w:val="en-US"/>
                </w:rPr>
                <w:t>https://www.scottishborderscouncilpensionfund.org/media/4253/180614-full-risk-register.pdf</w:t>
              </w:r>
            </w:hyperlink>
            <w:r w:rsidRPr="00EE71FB">
              <w:rPr>
                <w:lang w:val="en-US"/>
              </w:rPr>
              <w:t xml:space="preserve"> </w:t>
            </w:r>
          </w:p>
          <w:p w:rsidR="00497D94" w:rsidRDefault="003870F3" w:rsidP="009E3205">
            <w:pPr>
              <w:rPr>
                <w:lang w:val="en-US"/>
              </w:rPr>
            </w:pPr>
            <w:r>
              <w:rPr>
                <w:lang w:val="en-US"/>
              </w:rPr>
              <w:t>SB</w:t>
            </w:r>
            <w:r w:rsidR="00497D94">
              <w:rPr>
                <w:lang w:val="en-US"/>
              </w:rPr>
              <w:t>PF has</w:t>
            </w:r>
            <w:r w:rsidR="009E3205">
              <w:rPr>
                <w:lang w:val="en-US"/>
              </w:rPr>
              <w:t xml:space="preserve"> opted up to professional status under M</w:t>
            </w:r>
            <w:r w:rsidR="00497D94">
              <w:rPr>
                <w:lang w:val="en-US"/>
              </w:rPr>
              <w:t>i</w:t>
            </w:r>
            <w:r w:rsidR="009E3205">
              <w:rPr>
                <w:lang w:val="en-US"/>
              </w:rPr>
              <w:t xml:space="preserve">FID 2 which </w:t>
            </w:r>
            <w:r w:rsidR="007C255D">
              <w:rPr>
                <w:lang w:val="en-US"/>
              </w:rPr>
              <w:t xml:space="preserve">requires funds to </w:t>
            </w:r>
            <w:r w:rsidR="009E3205">
              <w:rPr>
                <w:lang w:val="en-US"/>
              </w:rPr>
              <w:t>have access to appropriate</w:t>
            </w:r>
            <w:r w:rsidR="00497D94">
              <w:rPr>
                <w:lang w:val="en-US"/>
              </w:rPr>
              <w:t>,</w:t>
            </w:r>
            <w:r w:rsidR="009E3205">
              <w:rPr>
                <w:lang w:val="en-US"/>
              </w:rPr>
              <w:t xml:space="preserve"> </w:t>
            </w:r>
            <w:r w:rsidR="00497D94">
              <w:rPr>
                <w:lang w:val="en-US"/>
              </w:rPr>
              <w:t>professionally</w:t>
            </w:r>
            <w:r w:rsidR="000E5376">
              <w:rPr>
                <w:lang w:val="en-US"/>
              </w:rPr>
              <w:t xml:space="preserve"> </w:t>
            </w:r>
            <w:r w:rsidR="00497D94">
              <w:rPr>
                <w:lang w:val="en-US"/>
              </w:rPr>
              <w:t>-</w:t>
            </w:r>
            <w:r w:rsidR="000E5376">
              <w:rPr>
                <w:lang w:val="en-US"/>
              </w:rPr>
              <w:t xml:space="preserve"> </w:t>
            </w:r>
            <w:r w:rsidR="000F1E3D">
              <w:rPr>
                <w:lang w:val="en-US"/>
              </w:rPr>
              <w:t xml:space="preserve">qualified </w:t>
            </w:r>
            <w:r w:rsidR="009E3205">
              <w:rPr>
                <w:lang w:val="en-US"/>
              </w:rPr>
              <w:t>advice to ensure they can</w:t>
            </w:r>
            <w:r w:rsidR="007C255D">
              <w:rPr>
                <w:lang w:val="en-US"/>
              </w:rPr>
              <w:t xml:space="preserve"> </w:t>
            </w:r>
            <w:r w:rsidR="009E3205">
              <w:rPr>
                <w:lang w:val="en-US"/>
              </w:rPr>
              <w:t xml:space="preserve">manage risks </w:t>
            </w:r>
            <w:r w:rsidR="007C255D">
              <w:rPr>
                <w:lang w:val="en-US"/>
              </w:rPr>
              <w:t>effectively</w:t>
            </w:r>
            <w:r w:rsidR="000F1E3D">
              <w:rPr>
                <w:lang w:val="en-US"/>
              </w:rPr>
              <w:t>.</w:t>
            </w:r>
          </w:p>
          <w:p w:rsidR="00F12556" w:rsidRPr="00CD5218" w:rsidRDefault="00CB2A52" w:rsidP="007C255D">
            <w:pPr>
              <w:pStyle w:val="Question"/>
              <w:rPr>
                <w:b/>
              </w:rPr>
            </w:pPr>
            <w:r w:rsidRPr="00CD5218">
              <w:rPr>
                <w:b/>
              </w:rPr>
              <w:t>How well are operating risks managed in the current system?</w:t>
            </w:r>
          </w:p>
          <w:p w:rsidR="00CB2A52" w:rsidRPr="000F1E3D" w:rsidRDefault="000F1E3D" w:rsidP="000F1E3D">
            <w:pPr>
              <w:pStyle w:val="Question"/>
              <w:numPr>
                <w:ilvl w:val="0"/>
                <w:numId w:val="0"/>
              </w:numPr>
              <w:ind w:left="284"/>
              <w:rPr>
                <w:i w:val="0"/>
              </w:rPr>
            </w:pPr>
            <w:r w:rsidRPr="000F1E3D">
              <w:rPr>
                <w:i w:val="0"/>
              </w:rPr>
              <w:t>The performance of the LG</w:t>
            </w:r>
            <w:r w:rsidR="00F12556" w:rsidRPr="000F1E3D">
              <w:rPr>
                <w:i w:val="0"/>
              </w:rPr>
              <w:t>PS</w:t>
            </w:r>
            <w:r w:rsidRPr="000F1E3D">
              <w:rPr>
                <w:i w:val="0"/>
              </w:rPr>
              <w:t xml:space="preserve"> in Scotland</w:t>
            </w:r>
            <w:r w:rsidR="00F12556" w:rsidRPr="000F1E3D">
              <w:rPr>
                <w:i w:val="0"/>
              </w:rPr>
              <w:t xml:space="preserve"> and the content of external audit reports indicate these risks are being managed </w:t>
            </w:r>
            <w:r w:rsidR="007C255D" w:rsidRPr="000F1E3D">
              <w:rPr>
                <w:i w:val="0"/>
              </w:rPr>
              <w:t>effectively</w:t>
            </w:r>
            <w:r w:rsidRPr="000F1E3D">
              <w:rPr>
                <w:i w:val="0"/>
              </w:rPr>
              <w:t>.</w:t>
            </w:r>
            <w:r w:rsidR="00CB2A52" w:rsidRPr="000F1E3D">
              <w:rPr>
                <w:i w:val="0"/>
              </w:rPr>
              <w:t xml:space="preserve">  </w:t>
            </w:r>
            <w:r w:rsidR="000E5376">
              <w:rPr>
                <w:i w:val="0"/>
              </w:rPr>
              <w:t>The SBPF has appropriately</w:t>
            </w:r>
            <w:r w:rsidR="00D842D1">
              <w:rPr>
                <w:i w:val="0"/>
              </w:rPr>
              <w:t xml:space="preserve"> qualified</w:t>
            </w:r>
            <w:r w:rsidR="000E5376">
              <w:rPr>
                <w:i w:val="0"/>
              </w:rPr>
              <w:t xml:space="preserve">, </w:t>
            </w:r>
            <w:r w:rsidR="00D842D1">
              <w:rPr>
                <w:i w:val="0"/>
              </w:rPr>
              <w:t xml:space="preserve">experienced officers managing both the pension fund investment and pension fund administration processes.  The fund has a strong risk based culture and has effective arrangements in place for managing those risks.  The fund does not manage any money internally instead relying on the expertise of professional investment firms.  The operation of the fund is supported by independent expert </w:t>
            </w:r>
            <w:r w:rsidR="000E5376">
              <w:rPr>
                <w:i w:val="0"/>
              </w:rPr>
              <w:t xml:space="preserve">advisor KPMG, </w:t>
            </w:r>
            <w:r w:rsidR="00D842D1">
              <w:rPr>
                <w:i w:val="0"/>
              </w:rPr>
              <w:t>external Custodian Northern Trust and our actuary Barnett Waddingham</w:t>
            </w:r>
            <w:r w:rsidR="000E5376">
              <w:rPr>
                <w:i w:val="0"/>
              </w:rPr>
              <w:t>.</w:t>
            </w:r>
            <w:r w:rsidR="00D842D1">
              <w:rPr>
                <w:i w:val="0"/>
              </w:rPr>
              <w:t xml:space="preserve"> </w:t>
            </w:r>
          </w:p>
          <w:p w:rsidR="00D842D1" w:rsidRDefault="00CB2A52" w:rsidP="00C22506">
            <w:pPr>
              <w:pStyle w:val="Question"/>
            </w:pPr>
            <w:r w:rsidRPr="00CD5218">
              <w:rPr>
                <w:b/>
              </w:rPr>
              <w:t>How would you improve the measurement and management of operating risks in the current system</w:t>
            </w:r>
            <w:r w:rsidRPr="00F50CBA">
              <w:t>?</w:t>
            </w:r>
          </w:p>
          <w:p w:rsidR="00CB2A52" w:rsidRDefault="00D842D1" w:rsidP="00D842D1">
            <w:pPr>
              <w:pStyle w:val="Question"/>
              <w:numPr>
                <w:ilvl w:val="0"/>
                <w:numId w:val="0"/>
              </w:numPr>
            </w:pPr>
            <w:r>
              <w:t xml:space="preserve">By requiring members to undertake mandatory training </w:t>
            </w:r>
            <w:r w:rsidR="000A181B">
              <w:t>e.g.</w:t>
            </w:r>
            <w:r>
              <w:t xml:space="preserve"> the Trustee toolkit to ensure they </w:t>
            </w:r>
            <w:r w:rsidR="000A181B">
              <w:t>have a</w:t>
            </w:r>
            <w:r>
              <w:t xml:space="preserve"> good understanding of operating risks.</w:t>
            </w:r>
            <w:r w:rsidR="00CB2A52" w:rsidRPr="00F50CBA">
              <w:t xml:space="preserve"> </w:t>
            </w:r>
          </w:p>
          <w:p w:rsidR="000F1E3D" w:rsidRPr="00F12556" w:rsidRDefault="00F12556" w:rsidP="00F12556">
            <w:pPr>
              <w:rPr>
                <w:lang w:val="en-US"/>
              </w:rPr>
            </w:pPr>
            <w:r>
              <w:rPr>
                <w:lang w:val="en-US"/>
              </w:rPr>
              <w:t xml:space="preserve">By requiring each fund to publish a comprehensive risk register for the fund which is </w:t>
            </w:r>
            <w:r w:rsidR="00D842D1">
              <w:rPr>
                <w:lang w:val="en-US"/>
              </w:rPr>
              <w:t>subject to regular review.</w:t>
            </w:r>
          </w:p>
          <w:p w:rsidR="00CB2A52" w:rsidRPr="00D26C29" w:rsidRDefault="00CB2A52" w:rsidP="003803EE">
            <w:pPr>
              <w:pStyle w:val="ListNumber"/>
            </w:pPr>
            <w:r w:rsidRPr="009321FA">
              <w:t>Infras</w:t>
            </w:r>
            <w:r w:rsidRPr="00D26C29">
              <w:t xml:space="preserve">tructure: </w:t>
            </w:r>
          </w:p>
          <w:p w:rsidR="00CB2A52" w:rsidRPr="00CD5218" w:rsidRDefault="00CB2A52" w:rsidP="00C22506">
            <w:pPr>
              <w:pStyle w:val="Question"/>
              <w:rPr>
                <w:b/>
              </w:rPr>
            </w:pPr>
            <w:r w:rsidRPr="00CD5218">
              <w:rPr>
                <w:b/>
              </w:rPr>
              <w:t>How well informed do you feel about your fund’s investments in infrastructure? What information do you rely on?</w:t>
            </w:r>
          </w:p>
          <w:p w:rsidR="00F12556" w:rsidRDefault="00F12556" w:rsidP="00F12556">
            <w:pPr>
              <w:rPr>
                <w:lang w:val="en-US"/>
              </w:rPr>
            </w:pPr>
            <w:r>
              <w:rPr>
                <w:lang w:val="en-US"/>
              </w:rPr>
              <w:t xml:space="preserve">The principal of investment in </w:t>
            </w:r>
            <w:r w:rsidR="00E8158F">
              <w:rPr>
                <w:lang w:val="en-US"/>
              </w:rPr>
              <w:t>infrastructure</w:t>
            </w:r>
            <w:r>
              <w:rPr>
                <w:lang w:val="en-US"/>
              </w:rPr>
              <w:t xml:space="preserve"> is well established where this offers comparative advantage </w:t>
            </w:r>
            <w:r w:rsidR="000F1E3D">
              <w:rPr>
                <w:lang w:val="en-US"/>
              </w:rPr>
              <w:t xml:space="preserve">over other asset classes </w:t>
            </w:r>
            <w:r>
              <w:rPr>
                <w:lang w:val="en-US"/>
              </w:rPr>
              <w:t xml:space="preserve">for example diversification benefits or index linked annual income. </w:t>
            </w:r>
            <w:r w:rsidR="00D842D1">
              <w:rPr>
                <w:lang w:val="en-US"/>
              </w:rPr>
              <w:t xml:space="preserve">  </w:t>
            </w:r>
            <w:r w:rsidR="000A181B">
              <w:rPr>
                <w:lang w:val="en-US"/>
              </w:rPr>
              <w:t xml:space="preserve">Scottish Borders Council Pension Fund is actively collaborating in a range of Infrastructure investments with Lothian Pension fund.  </w:t>
            </w:r>
            <w:r w:rsidR="00D842D1">
              <w:rPr>
                <w:lang w:val="en-US"/>
              </w:rPr>
              <w:t xml:space="preserve">This </w:t>
            </w:r>
            <w:r w:rsidR="003803EE">
              <w:rPr>
                <w:lang w:val="en-US"/>
              </w:rPr>
              <w:t>arrangement</w:t>
            </w:r>
            <w:r w:rsidR="00D842D1">
              <w:rPr>
                <w:lang w:val="en-US"/>
              </w:rPr>
              <w:t xml:space="preserve"> provides SBCPF with cost effective access to investment opportunities </w:t>
            </w:r>
            <w:r w:rsidR="00D67FEA">
              <w:rPr>
                <w:lang w:val="en-US"/>
              </w:rPr>
              <w:t>whic</w:t>
            </w:r>
            <w:r w:rsidR="00D842D1">
              <w:rPr>
                <w:lang w:val="en-US"/>
              </w:rPr>
              <w:t xml:space="preserve">h are </w:t>
            </w:r>
            <w:r w:rsidR="000A181B">
              <w:rPr>
                <w:lang w:val="en-US"/>
              </w:rPr>
              <w:t>also</w:t>
            </w:r>
            <w:r w:rsidR="00D842D1">
              <w:rPr>
                <w:lang w:val="en-US"/>
              </w:rPr>
              <w:t xml:space="preserve"> being accessed by Falkirk, Fife and NILGOS</w:t>
            </w:r>
            <w:r w:rsidR="000E5376">
              <w:rPr>
                <w:lang w:val="en-US"/>
              </w:rPr>
              <w:t>.  Recent investments include renewable energy, telecoms and transport infrastructure.</w:t>
            </w:r>
          </w:p>
          <w:p w:rsidR="00F12556" w:rsidRPr="00CD5218" w:rsidRDefault="00CB2A52" w:rsidP="00C22506">
            <w:pPr>
              <w:pStyle w:val="Question"/>
              <w:rPr>
                <w:b/>
              </w:rPr>
            </w:pPr>
            <w:r w:rsidRPr="00CD5218">
              <w:rPr>
                <w:b/>
              </w:rPr>
              <w:t>How do you rate the current system’s ability to invest in infrastructure?</w:t>
            </w:r>
          </w:p>
          <w:p w:rsidR="00D67FEA" w:rsidRDefault="00D67FEA" w:rsidP="00D67FEA">
            <w:pPr>
              <w:rPr>
                <w:lang w:val="en-US"/>
              </w:rPr>
            </w:pPr>
            <w:r>
              <w:rPr>
                <w:lang w:val="en-US"/>
              </w:rPr>
              <w:t xml:space="preserve">The principal objective of a pension fund is to build up a fund of assets sufficient to meet future pension fund liabilities not to fund public infrastructure projects.  </w:t>
            </w:r>
          </w:p>
          <w:p w:rsidR="00D67FEA" w:rsidRDefault="00D67FEA" w:rsidP="00D67FEA">
            <w:pPr>
              <w:rPr>
                <w:lang w:val="en-US"/>
              </w:rPr>
            </w:pPr>
            <w:r>
              <w:rPr>
                <w:lang w:val="en-US"/>
              </w:rPr>
              <w:t xml:space="preserve">There is an inherent tension between </w:t>
            </w:r>
            <w:r w:rsidR="000A181B">
              <w:rPr>
                <w:lang w:val="en-US"/>
              </w:rPr>
              <w:t>optimizing</w:t>
            </w:r>
            <w:r>
              <w:rPr>
                <w:lang w:val="en-US"/>
              </w:rPr>
              <w:t xml:space="preserve"> risk and return for pension funds and </w:t>
            </w:r>
            <w:r>
              <w:rPr>
                <w:lang w:val="en-US"/>
              </w:rPr>
              <w:lastRenderedPageBreak/>
              <w:t>delivering public investment in infrastructure at the lowest possible cost to the taxpayer.</w:t>
            </w:r>
          </w:p>
          <w:p w:rsidR="00D67FEA" w:rsidRDefault="00E8158F" w:rsidP="00D67FEA">
            <w:pPr>
              <w:pStyle w:val="Question"/>
              <w:numPr>
                <w:ilvl w:val="0"/>
                <w:numId w:val="0"/>
              </w:numPr>
              <w:rPr>
                <w:i w:val="0"/>
              </w:rPr>
            </w:pPr>
            <w:r w:rsidRPr="000F1E3D">
              <w:rPr>
                <w:i w:val="0"/>
              </w:rPr>
              <w:t xml:space="preserve">There are </w:t>
            </w:r>
            <w:r w:rsidR="00D67FEA">
              <w:rPr>
                <w:i w:val="0"/>
              </w:rPr>
              <w:t xml:space="preserve">however </w:t>
            </w:r>
            <w:r w:rsidRPr="000F1E3D">
              <w:rPr>
                <w:i w:val="0"/>
              </w:rPr>
              <w:t xml:space="preserve">excellent examples of the LGPS investing in infrastructure which is increasing featuring as part of the Asset Allocation Strategy of LGPS funds for example </w:t>
            </w:r>
            <w:r w:rsidR="000E5376">
              <w:rPr>
                <w:i w:val="0"/>
              </w:rPr>
              <w:t xml:space="preserve">it is understood </w:t>
            </w:r>
            <w:r w:rsidRPr="000F1E3D">
              <w:rPr>
                <w:i w:val="0"/>
              </w:rPr>
              <w:t>Strathclyde has now allocated over £330m in this asset class</w:t>
            </w:r>
            <w:r w:rsidR="00D67FEA">
              <w:rPr>
                <w:i w:val="0"/>
              </w:rPr>
              <w:t>.</w:t>
            </w:r>
            <w:r w:rsidRPr="000F1E3D">
              <w:rPr>
                <w:i w:val="0"/>
              </w:rPr>
              <w:t xml:space="preserve"> </w:t>
            </w:r>
          </w:p>
          <w:p w:rsidR="00BD68EC" w:rsidRPr="00BD68EC" w:rsidRDefault="00D67FEA" w:rsidP="003803EE">
            <w:pPr>
              <w:pStyle w:val="Question"/>
              <w:numPr>
                <w:ilvl w:val="0"/>
                <w:numId w:val="0"/>
              </w:numPr>
            </w:pPr>
            <w:r>
              <w:rPr>
                <w:i w:val="0"/>
              </w:rPr>
              <w:t xml:space="preserve">Scottish Borders has made an allocation of 5% of assets under management to infrastructure and is investing in this asset </w:t>
            </w:r>
            <w:r w:rsidR="000E5376">
              <w:rPr>
                <w:i w:val="0"/>
              </w:rPr>
              <w:t xml:space="preserve">class </w:t>
            </w:r>
            <w:r>
              <w:rPr>
                <w:i w:val="0"/>
              </w:rPr>
              <w:t xml:space="preserve">in collaboration with Lothian Pension fund </w:t>
            </w:r>
          </w:p>
          <w:p w:rsidR="00CB2A52" w:rsidRPr="00CD5218" w:rsidRDefault="00CB2A52" w:rsidP="00C22506">
            <w:pPr>
              <w:pStyle w:val="Question"/>
              <w:rPr>
                <w:b/>
              </w:rPr>
            </w:pPr>
            <w:r w:rsidRPr="00CD5218">
              <w:rPr>
                <w:b/>
              </w:rPr>
              <w:t xml:space="preserve">How would you increase investment in infrastructure in the current system? </w:t>
            </w:r>
          </w:p>
          <w:p w:rsidR="00D67FEA" w:rsidRDefault="00D67FEA" w:rsidP="007C255D">
            <w:r>
              <w:t xml:space="preserve">The attractiveness of this asset class can only be assessed in comparison to the risk and return profile of other assets.  Having an appropriate vehicle to access infrastructure investment in a cost effective manner would assist.   </w:t>
            </w:r>
          </w:p>
          <w:p w:rsidR="00D67FEA" w:rsidRDefault="007C255D" w:rsidP="007C255D">
            <w:r>
              <w:t>The Scottish Futures trust h</w:t>
            </w:r>
            <w:r w:rsidR="00D67FEA">
              <w:t xml:space="preserve">as recently undertaken work in this area and published a paper with regard to housing infrastructure investment.  </w:t>
            </w:r>
          </w:p>
          <w:p w:rsidR="007C255D" w:rsidRDefault="00D67FEA" w:rsidP="007C255D">
            <w:r>
              <w:t>T</w:t>
            </w:r>
            <w:r w:rsidR="00516663">
              <w:t>he</w:t>
            </w:r>
            <w:r w:rsidR="007C255D">
              <w:t xml:space="preserve"> structures to </w:t>
            </w:r>
            <w:r w:rsidR="000F1E3D">
              <w:t xml:space="preserve">easy </w:t>
            </w:r>
            <w:r w:rsidR="007C255D">
              <w:t>enable such large scale investment in infrastructure</w:t>
            </w:r>
            <w:r w:rsidR="000F1E3D">
              <w:t>,</w:t>
            </w:r>
            <w:r w:rsidR="007C255D">
              <w:t xml:space="preserve"> which balance</w:t>
            </w:r>
            <w:r w:rsidR="000F1E3D">
              <w:t>s</w:t>
            </w:r>
            <w:r w:rsidR="007C255D">
              <w:t xml:space="preserve"> suitable returns within an optimized risk profile</w:t>
            </w:r>
            <w:r w:rsidR="000F1E3D">
              <w:t>,</w:t>
            </w:r>
            <w:r w:rsidR="007C255D">
              <w:t xml:space="preserve"> with low cost project funding which can match PWLB costs</w:t>
            </w:r>
            <w:r w:rsidR="00516663">
              <w:t>, are</w:t>
            </w:r>
            <w:r w:rsidR="007C255D">
              <w:t xml:space="preserve"> not </w:t>
            </w:r>
            <w:r>
              <w:t xml:space="preserve">however </w:t>
            </w:r>
            <w:r w:rsidR="007C255D">
              <w:t xml:space="preserve">yet </w:t>
            </w:r>
            <w:r w:rsidR="00516663">
              <w:t>suitably developed</w:t>
            </w:r>
            <w:r w:rsidR="007C255D">
              <w:t>.  Development of such a model would help to facilitate infrastructure investment.</w:t>
            </w:r>
          </w:p>
          <w:p w:rsidR="00D67FEA" w:rsidRDefault="00D67FEA" w:rsidP="00D67FEA">
            <w:r>
              <w:t xml:space="preserve">The desire to see LGPS funds investing in infrastructure is a well-established political objective; however, it must be recognized that fund assets are separate from council funds and they exist to pay for liabilities.  Any decision to invest in infrastructure need to be based on an objective assessment of risk and reward to the pension fund as well as the cost and benefit of such investment to local communities.  One cannot be assessed and achieved without an understanding of the other and there needs to be an acceptance that meeting the policy objective of having funds invest in local infrastructure must result in the risk of </w:t>
            </w:r>
            <w:r w:rsidR="000E5376">
              <w:t xml:space="preserve">lower investment returns or </w:t>
            </w:r>
            <w:r>
              <w:t>higher pension costs for Local Authorities.</w:t>
            </w:r>
          </w:p>
          <w:p w:rsidR="00513272" w:rsidRPr="003803EE" w:rsidRDefault="00CB2A52" w:rsidP="003803EE">
            <w:pPr>
              <w:pStyle w:val="ListNumber"/>
            </w:pPr>
            <w:r w:rsidRPr="003803EE">
              <w:t>Do you have any additional comments about this option?</w:t>
            </w:r>
          </w:p>
          <w:p w:rsidR="000A181B" w:rsidRDefault="000A181B" w:rsidP="000A181B">
            <w:r>
              <w:t xml:space="preserve">This option represents the Status Quo for the LGPS in Scotland and any other options considered must deliver demonstrably better outcomes, based on robust empirical data, for them to be seriously considered.  </w:t>
            </w:r>
          </w:p>
          <w:p w:rsidR="000A181B" w:rsidRDefault="000A181B" w:rsidP="000A181B">
            <w:r>
              <w:t xml:space="preserve">The LGPS is an integral part of local government and of local decision making and is a considerable success story by any measure.  Costs are low, governance is effective, member trust in the current system is high and most importantly funding levels are near or above 100% in all funds. </w:t>
            </w:r>
          </w:p>
          <w:p w:rsidR="000A181B" w:rsidRDefault="000A181B" w:rsidP="000A181B">
            <w:r>
              <w:t>The LGPS faces significant challenges</w:t>
            </w:r>
            <w:r w:rsidR="000E5376">
              <w:t>,</w:t>
            </w:r>
            <w:r>
              <w:t xml:space="preserve"> but then so do the rest of the public services</w:t>
            </w:r>
            <w:r w:rsidR="000E5376">
              <w:t>,</w:t>
            </w:r>
            <w:r>
              <w:t xml:space="preserve"> and the reforms being consulted upon within this consultation are unlikely to solve these issues or lead to better outcomes.  They could in fact prove highly costly and do significant damage</w:t>
            </w:r>
            <w:r w:rsidR="000E5376">
              <w:t>!</w:t>
            </w:r>
            <w:r>
              <w:t xml:space="preserve">     </w:t>
            </w:r>
          </w:p>
          <w:p w:rsidR="000C4E12" w:rsidRDefault="000C4E12" w:rsidP="003803EE">
            <w:pPr>
              <w:pStyle w:val="ListNumber"/>
            </w:pPr>
          </w:p>
        </w:tc>
      </w:tr>
    </w:tbl>
    <w:p w:rsidR="00616BC9" w:rsidRDefault="00616BC9" w:rsidP="00513272">
      <w:pPr>
        <w:jc w:val="right"/>
      </w:pPr>
    </w:p>
    <w:tbl>
      <w:tblPr>
        <w:tblStyle w:val="TableGrid"/>
        <w:tblW w:w="0" w:type="auto"/>
        <w:tblLook w:val="04A0" w:firstRow="1" w:lastRow="0" w:firstColumn="1" w:lastColumn="0" w:noHBand="0" w:noVBand="1"/>
      </w:tblPr>
      <w:tblGrid>
        <w:gridCol w:w="9180"/>
      </w:tblGrid>
      <w:tr w:rsidR="00616BC9" w:rsidTr="003E37CD">
        <w:tc>
          <w:tcPr>
            <w:tcW w:w="9180" w:type="dxa"/>
            <w:tcBorders>
              <w:top w:val="nil"/>
              <w:left w:val="nil"/>
              <w:right w:val="nil"/>
            </w:tcBorders>
          </w:tcPr>
          <w:p w:rsidR="00C22506" w:rsidRDefault="00616BC9" w:rsidP="000C4E12">
            <w:pPr>
              <w:pStyle w:val="Heading2"/>
              <w:outlineLvl w:val="1"/>
            </w:pPr>
            <w:r>
              <w:lastRenderedPageBreak/>
              <w:br w:type="page"/>
              <w:t>Question 2:</w:t>
            </w:r>
            <w:r w:rsidR="004B2A40">
              <w:t xml:space="preserve"> </w:t>
            </w:r>
            <w:r w:rsidR="004B2A40" w:rsidRPr="004B2A40">
              <w:t>Promote cooperation in investing and administration between the 11 funds</w:t>
            </w:r>
          </w:p>
          <w:p w:rsidR="00616BC9" w:rsidRDefault="00616BC9" w:rsidP="00C22506">
            <w:r>
              <w:t>The text can wrap onto additional pages</w:t>
            </w:r>
            <w:r w:rsidR="00CB2A52">
              <w:t>.</w:t>
            </w:r>
          </w:p>
        </w:tc>
      </w:tr>
      <w:tr w:rsidR="00616BC9" w:rsidTr="003E37CD">
        <w:tc>
          <w:tcPr>
            <w:tcW w:w="9180" w:type="dxa"/>
          </w:tcPr>
          <w:p w:rsidR="00CB2A52" w:rsidRDefault="00CB2A52" w:rsidP="003803EE">
            <w:pPr>
              <w:pStyle w:val="ListNumber"/>
              <w:numPr>
                <w:ilvl w:val="0"/>
                <w:numId w:val="16"/>
              </w:numPr>
            </w:pPr>
            <w:r>
              <w:t xml:space="preserve">Cost of investing: </w:t>
            </w:r>
          </w:p>
          <w:p w:rsidR="003F794E" w:rsidRPr="00D26C29" w:rsidRDefault="00CB2A52" w:rsidP="000F1E3D">
            <w:pPr>
              <w:pStyle w:val="Question"/>
              <w:rPr>
                <w:b/>
              </w:rPr>
            </w:pPr>
            <w:r w:rsidRPr="00D26C29">
              <w:rPr>
                <w:b/>
              </w:rPr>
              <w:t xml:space="preserve">What impact do you think promoting agreements between funds would have on investment costs? </w:t>
            </w:r>
          </w:p>
          <w:p w:rsidR="001E38B7" w:rsidRDefault="003F794E" w:rsidP="003F794E">
            <w:pPr>
              <w:pStyle w:val="Question"/>
              <w:numPr>
                <w:ilvl w:val="0"/>
                <w:numId w:val="0"/>
              </w:numPr>
              <w:ind w:left="284"/>
            </w:pPr>
            <w:r>
              <w:t xml:space="preserve">Promoting </w:t>
            </w:r>
            <w:r w:rsidR="001E38B7">
              <w:t>joint agreements re</w:t>
            </w:r>
            <w:r>
              <w:t>l</w:t>
            </w:r>
            <w:r w:rsidR="001E38B7">
              <w:t>a</w:t>
            </w:r>
            <w:r>
              <w:t xml:space="preserve">ting to </w:t>
            </w:r>
            <w:r w:rsidR="00516663">
              <w:t>collaborative</w:t>
            </w:r>
            <w:r w:rsidR="001E38B7">
              <w:t xml:space="preserve"> investments</w:t>
            </w:r>
            <w:r>
              <w:t xml:space="preserve"> could have some positive impacts in terms of fees.  This is particularly the case with regard to the cost of </w:t>
            </w:r>
            <w:r w:rsidR="00516663">
              <w:t>investing</w:t>
            </w:r>
            <w:r>
              <w:t xml:space="preserve"> in alternative asset classes such as infrastructure.  </w:t>
            </w:r>
          </w:p>
          <w:p w:rsidR="00CB2A52" w:rsidRPr="0076513B" w:rsidRDefault="00CB2A52" w:rsidP="00C22506">
            <w:pPr>
              <w:pStyle w:val="Question"/>
              <w:rPr>
                <w:b/>
              </w:rPr>
            </w:pPr>
            <w:r w:rsidRPr="0076513B">
              <w:rPr>
                <w:b/>
              </w:rPr>
              <w:t xml:space="preserve">What would be the positive impacts? </w:t>
            </w:r>
          </w:p>
          <w:p w:rsidR="003F794E" w:rsidRDefault="003F794E" w:rsidP="003F794E">
            <w:pPr>
              <w:pStyle w:val="Question"/>
              <w:numPr>
                <w:ilvl w:val="0"/>
                <w:numId w:val="0"/>
              </w:numPr>
              <w:ind w:left="284"/>
            </w:pPr>
            <w:r>
              <w:t xml:space="preserve">Economies </w:t>
            </w:r>
            <w:r w:rsidR="001E38B7">
              <w:t>of sca</w:t>
            </w:r>
            <w:r w:rsidR="00CD5218">
              <w:t>le may</w:t>
            </w:r>
            <w:r>
              <w:t xml:space="preserve"> be delivered </w:t>
            </w:r>
            <w:r w:rsidR="001E38B7">
              <w:t xml:space="preserve">to some of the smaller funds </w:t>
            </w:r>
            <w:r>
              <w:t>through greater purchasing power</w:t>
            </w:r>
            <w:r w:rsidR="001E38B7">
              <w:t>.</w:t>
            </w:r>
            <w:r>
              <w:t xml:space="preserve"> </w:t>
            </w:r>
          </w:p>
          <w:p w:rsidR="001E38B7" w:rsidRPr="001E38B7" w:rsidRDefault="001E38B7" w:rsidP="0076513B">
            <w:pPr>
              <w:pStyle w:val="Question"/>
              <w:numPr>
                <w:ilvl w:val="0"/>
                <w:numId w:val="0"/>
              </w:numPr>
              <w:ind w:left="284"/>
            </w:pPr>
            <w:r>
              <w:t>C</w:t>
            </w:r>
            <w:r w:rsidR="00CD5218">
              <w:t>ollaboration and cooperation will give all</w:t>
            </w:r>
            <w:r>
              <w:t xml:space="preserve"> funds the confidence to invest in a wi</w:t>
            </w:r>
            <w:r w:rsidR="0076513B">
              <w:t>der range of diversified assets and provide access to a wider</w:t>
            </w:r>
            <w:r>
              <w:t xml:space="preserve"> breadth of expertise.</w:t>
            </w:r>
          </w:p>
          <w:p w:rsidR="00CB2A52" w:rsidRPr="0076513B" w:rsidRDefault="00CB2A52" w:rsidP="00C22506">
            <w:pPr>
              <w:pStyle w:val="Question"/>
              <w:rPr>
                <w:b/>
              </w:rPr>
            </w:pPr>
            <w:r w:rsidRPr="0076513B">
              <w:rPr>
                <w:b/>
              </w:rPr>
              <w:t>What would be the negative impacts?</w:t>
            </w:r>
          </w:p>
          <w:p w:rsidR="003F794E" w:rsidRPr="003F794E" w:rsidRDefault="00CD5218" w:rsidP="003F794E">
            <w:pPr>
              <w:rPr>
                <w:lang w:val="en-US"/>
              </w:rPr>
            </w:pPr>
            <w:r>
              <w:rPr>
                <w:lang w:val="en-US"/>
              </w:rPr>
              <w:t xml:space="preserve">Collaboration does not remove the requirement for individual funds to undertake due diligence regarding prospective investments.  Each party to the collaborative investment agreement must undertake their own research and fully understand the risks and potential benefits of investing before committing.  </w:t>
            </w:r>
          </w:p>
          <w:p w:rsidR="00CB2A52" w:rsidRDefault="00CB2A52" w:rsidP="003803EE">
            <w:pPr>
              <w:pStyle w:val="ListNumber"/>
            </w:pPr>
            <w:r>
              <w:t>Governance:</w:t>
            </w:r>
          </w:p>
          <w:p w:rsidR="00CB2A52" w:rsidRPr="0076513B" w:rsidRDefault="00CB2A52" w:rsidP="00C22506">
            <w:pPr>
              <w:pStyle w:val="Question"/>
              <w:rPr>
                <w:b/>
              </w:rPr>
            </w:pPr>
            <w:r w:rsidRPr="0076513B">
              <w:rPr>
                <w:b/>
              </w:rPr>
              <w:t xml:space="preserve">What impact do you think promoting agreements between funds would have on governance? </w:t>
            </w:r>
          </w:p>
          <w:p w:rsidR="001E38B7" w:rsidRPr="001E38B7" w:rsidRDefault="0076513B" w:rsidP="001E38B7">
            <w:pPr>
              <w:rPr>
                <w:lang w:val="en-US"/>
              </w:rPr>
            </w:pPr>
            <w:r>
              <w:rPr>
                <w:lang w:val="en-US"/>
              </w:rPr>
              <w:t xml:space="preserve">None.  Collaboration does not remove the requirement for each fund to ensure its governance arrangements are operating effectively.  </w:t>
            </w:r>
          </w:p>
          <w:p w:rsidR="00CB2A52" w:rsidRPr="0076513B" w:rsidRDefault="00CB2A52" w:rsidP="00C22506">
            <w:pPr>
              <w:pStyle w:val="Question"/>
              <w:rPr>
                <w:b/>
              </w:rPr>
            </w:pPr>
            <w:r w:rsidRPr="0076513B">
              <w:rPr>
                <w:b/>
              </w:rPr>
              <w:t xml:space="preserve">What would be the positive impacts? </w:t>
            </w:r>
          </w:p>
          <w:p w:rsidR="001E38B7" w:rsidRPr="001E38B7" w:rsidRDefault="0076513B" w:rsidP="001E38B7">
            <w:pPr>
              <w:rPr>
                <w:lang w:val="en-US"/>
              </w:rPr>
            </w:pPr>
            <w:r>
              <w:rPr>
                <w:lang w:val="en-US"/>
              </w:rPr>
              <w:t xml:space="preserve">Sharing of best practice and closer cooperation on co investment opportunities should have a positive impact.  </w:t>
            </w:r>
            <w:r w:rsidR="001E38B7">
              <w:rPr>
                <w:lang w:val="en-US"/>
              </w:rPr>
              <w:t xml:space="preserve">A wider range of individuals scrutinizing and challenging investment </w:t>
            </w:r>
            <w:r w:rsidR="00516663">
              <w:rPr>
                <w:lang w:val="en-US"/>
              </w:rPr>
              <w:t>decision</w:t>
            </w:r>
            <w:r w:rsidR="001E38B7">
              <w:rPr>
                <w:lang w:val="en-US"/>
              </w:rPr>
              <w:t xml:space="preserve"> should lead to better outcomes</w:t>
            </w:r>
          </w:p>
          <w:p w:rsidR="00CB2A52" w:rsidRPr="0076513B" w:rsidRDefault="00CB2A52" w:rsidP="00C22506">
            <w:pPr>
              <w:pStyle w:val="Question"/>
              <w:rPr>
                <w:b/>
              </w:rPr>
            </w:pPr>
            <w:r w:rsidRPr="0076513B">
              <w:rPr>
                <w:b/>
              </w:rPr>
              <w:t>What would be the negative impacts?</w:t>
            </w:r>
          </w:p>
          <w:p w:rsidR="001E38B7" w:rsidRPr="001E38B7" w:rsidRDefault="001E38B7" w:rsidP="001E38B7">
            <w:pPr>
              <w:rPr>
                <w:lang w:val="en-US"/>
              </w:rPr>
            </w:pPr>
            <w:r>
              <w:rPr>
                <w:lang w:val="en-US"/>
              </w:rPr>
              <w:t xml:space="preserve">The </w:t>
            </w:r>
            <w:r w:rsidR="00516663">
              <w:rPr>
                <w:lang w:val="en-US"/>
              </w:rPr>
              <w:t>difficulty</w:t>
            </w:r>
            <w:r>
              <w:rPr>
                <w:lang w:val="en-US"/>
              </w:rPr>
              <w:t xml:space="preserve"> of coordinating investment decisions, often to tight market driven </w:t>
            </w:r>
            <w:r w:rsidR="00516663">
              <w:rPr>
                <w:lang w:val="en-US"/>
              </w:rPr>
              <w:t>timescales</w:t>
            </w:r>
            <w:r>
              <w:rPr>
                <w:lang w:val="en-US"/>
              </w:rPr>
              <w:t xml:space="preserve"> could be </w:t>
            </w:r>
            <w:r w:rsidR="00516663">
              <w:rPr>
                <w:lang w:val="en-US"/>
              </w:rPr>
              <w:t xml:space="preserve">a </w:t>
            </w:r>
            <w:r>
              <w:rPr>
                <w:lang w:val="en-US"/>
              </w:rPr>
              <w:t>potential disadvantage.</w:t>
            </w:r>
            <w:r w:rsidR="0076513B">
              <w:rPr>
                <w:lang w:val="en-US"/>
              </w:rPr>
              <w:t xml:space="preserve"> Collaboration does not remove any governance overhead from individual funds. </w:t>
            </w:r>
          </w:p>
          <w:p w:rsidR="00CB2A52" w:rsidRPr="0076513B" w:rsidRDefault="00CB2A52" w:rsidP="003803EE">
            <w:pPr>
              <w:pStyle w:val="ListNumber"/>
            </w:pPr>
            <w:r w:rsidRPr="0076513B">
              <w:t xml:space="preserve">Operating risks: </w:t>
            </w:r>
          </w:p>
          <w:p w:rsidR="001E38B7" w:rsidRPr="0076513B" w:rsidRDefault="00CB2A52" w:rsidP="00C22506">
            <w:pPr>
              <w:pStyle w:val="Question"/>
              <w:rPr>
                <w:b/>
              </w:rPr>
            </w:pPr>
            <w:r w:rsidRPr="0076513B">
              <w:rPr>
                <w:b/>
              </w:rPr>
              <w:t>What impact do you think promoting agreements between funds would have on operating risks?</w:t>
            </w:r>
          </w:p>
          <w:p w:rsidR="00CB2A52" w:rsidRDefault="0076513B" w:rsidP="001E38B7">
            <w:pPr>
              <w:pStyle w:val="Question"/>
              <w:numPr>
                <w:ilvl w:val="0"/>
                <w:numId w:val="0"/>
              </w:numPr>
              <w:ind w:left="284"/>
              <w:rPr>
                <w:i w:val="0"/>
              </w:rPr>
            </w:pPr>
            <w:r>
              <w:rPr>
                <w:i w:val="0"/>
              </w:rPr>
              <w:lastRenderedPageBreak/>
              <w:t>N</w:t>
            </w:r>
            <w:r w:rsidR="00D26C29">
              <w:rPr>
                <w:i w:val="0"/>
              </w:rPr>
              <w:t>o</w:t>
            </w:r>
            <w:r>
              <w:rPr>
                <w:i w:val="0"/>
              </w:rPr>
              <w:t xml:space="preserve"> material impacts if collaboration is undertaken on a voluntary basis with each fund retaining responsibility for its own investment decisions.  </w:t>
            </w:r>
            <w:r w:rsidR="00516663" w:rsidRPr="00516663">
              <w:rPr>
                <w:i w:val="0"/>
              </w:rPr>
              <w:t>Significant voluntary cooperation already exists between LGPS funds that sh</w:t>
            </w:r>
            <w:r w:rsidR="00516663">
              <w:rPr>
                <w:i w:val="0"/>
              </w:rPr>
              <w:t>are best</w:t>
            </w:r>
            <w:r w:rsidR="00516663" w:rsidRPr="00516663">
              <w:rPr>
                <w:i w:val="0"/>
              </w:rPr>
              <w:t xml:space="preserve"> practice and access a range of services through nationally agreed procurement frameworks.  </w:t>
            </w:r>
          </w:p>
          <w:p w:rsidR="001E38B7" w:rsidRPr="0076513B" w:rsidRDefault="00CB2A52" w:rsidP="00C22506">
            <w:pPr>
              <w:pStyle w:val="Question"/>
              <w:rPr>
                <w:b/>
              </w:rPr>
            </w:pPr>
            <w:r w:rsidRPr="0076513B">
              <w:rPr>
                <w:b/>
              </w:rPr>
              <w:t>What would be the positive impacts?</w:t>
            </w:r>
          </w:p>
          <w:p w:rsidR="00516663" w:rsidRDefault="001E38B7" w:rsidP="00516663">
            <w:pPr>
              <w:pStyle w:val="Question"/>
              <w:numPr>
                <w:ilvl w:val="0"/>
                <w:numId w:val="0"/>
              </w:numPr>
              <w:ind w:left="284"/>
              <w:rPr>
                <w:i w:val="0"/>
              </w:rPr>
            </w:pPr>
            <w:r w:rsidRPr="00516663">
              <w:rPr>
                <w:i w:val="0"/>
              </w:rPr>
              <w:t>There could be potential bene</w:t>
            </w:r>
            <w:r w:rsidR="00516663" w:rsidRPr="00516663">
              <w:rPr>
                <w:i w:val="0"/>
              </w:rPr>
              <w:t>fits through economies of scale.</w:t>
            </w:r>
          </w:p>
          <w:p w:rsidR="00D26C29" w:rsidRPr="008E2F54" w:rsidRDefault="00D26C29" w:rsidP="008E2F54">
            <w:pPr>
              <w:rPr>
                <w:lang w:val="en-US"/>
              </w:rPr>
            </w:pPr>
            <w:r w:rsidRPr="00D26C29">
              <w:rPr>
                <w:lang w:val="en-US"/>
              </w:rPr>
              <w:t>Increase collaboration around Pension Administration could have a positive impact above that already in place.  All administering authorities now operate on the same administration system which, whilst working with the provider, could lead to increased synergies around documentation and testing of system upgrades resulting from changes to regulations</w:t>
            </w:r>
          </w:p>
          <w:p w:rsidR="00CB2A52" w:rsidRPr="0076513B" w:rsidRDefault="00CB2A52" w:rsidP="00516663">
            <w:pPr>
              <w:pStyle w:val="Question"/>
              <w:numPr>
                <w:ilvl w:val="0"/>
                <w:numId w:val="0"/>
              </w:numPr>
              <w:ind w:left="284"/>
              <w:rPr>
                <w:b/>
              </w:rPr>
            </w:pPr>
            <w:r w:rsidRPr="0076513B">
              <w:rPr>
                <w:b/>
              </w:rPr>
              <w:t>What would be the negative impacts?</w:t>
            </w:r>
          </w:p>
          <w:p w:rsidR="00D26C29" w:rsidRDefault="00516663" w:rsidP="0076513B">
            <w:pPr>
              <w:rPr>
                <w:lang w:val="en-US"/>
              </w:rPr>
            </w:pPr>
            <w:r>
              <w:rPr>
                <w:lang w:val="en-US"/>
              </w:rPr>
              <w:t xml:space="preserve">Formal </w:t>
            </w:r>
            <w:r w:rsidR="0076513B">
              <w:rPr>
                <w:lang w:val="en-US"/>
              </w:rPr>
              <w:t xml:space="preserve">legally binding </w:t>
            </w:r>
            <w:r>
              <w:rPr>
                <w:lang w:val="en-US"/>
              </w:rPr>
              <w:t xml:space="preserve">agreements need to be documented leading to additional legal costs. </w:t>
            </w:r>
          </w:p>
          <w:p w:rsidR="00CB2A52" w:rsidRPr="00D26C29" w:rsidRDefault="00CB2A52" w:rsidP="00D26C29">
            <w:pPr>
              <w:pStyle w:val="ListParagraph"/>
              <w:numPr>
                <w:ilvl w:val="0"/>
                <w:numId w:val="17"/>
              </w:numPr>
              <w:rPr>
                <w:u w:val="single"/>
              </w:rPr>
            </w:pPr>
            <w:r>
              <w:t>Infrastructure:</w:t>
            </w:r>
          </w:p>
          <w:p w:rsidR="00CB2A52" w:rsidRPr="0076513B" w:rsidRDefault="00CB2A52" w:rsidP="00C22506">
            <w:pPr>
              <w:pStyle w:val="Question"/>
              <w:rPr>
                <w:b/>
              </w:rPr>
            </w:pPr>
            <w:r w:rsidRPr="0076513B">
              <w:rPr>
                <w:b/>
              </w:rPr>
              <w:t xml:space="preserve">What impact do you think promoting agreements between funds would have on funds’ ability to invest in infrastructure? </w:t>
            </w:r>
          </w:p>
          <w:p w:rsidR="0076513B" w:rsidRPr="0076513B" w:rsidRDefault="0076513B" w:rsidP="0076513B">
            <w:pPr>
              <w:rPr>
                <w:lang w:val="en-US"/>
              </w:rPr>
            </w:pPr>
            <w:r>
              <w:rPr>
                <w:lang w:val="en-US"/>
              </w:rPr>
              <w:t xml:space="preserve">In practice this arrangement is already working effectively with respect to infrastructure.    </w:t>
            </w:r>
          </w:p>
          <w:p w:rsidR="00CB2A52" w:rsidRPr="0076513B" w:rsidRDefault="00CB2A52" w:rsidP="00C22506">
            <w:pPr>
              <w:pStyle w:val="Question"/>
              <w:rPr>
                <w:b/>
              </w:rPr>
            </w:pPr>
            <w:r w:rsidRPr="0076513B">
              <w:rPr>
                <w:b/>
              </w:rPr>
              <w:t xml:space="preserve">What would be the positive impacts? </w:t>
            </w:r>
          </w:p>
          <w:p w:rsidR="00401882" w:rsidRPr="0076513B" w:rsidRDefault="00401882" w:rsidP="0076513B">
            <w:pPr>
              <w:pStyle w:val="Question"/>
              <w:numPr>
                <w:ilvl w:val="0"/>
                <w:numId w:val="0"/>
              </w:numPr>
              <w:ind w:left="284"/>
              <w:rPr>
                <w:i w:val="0"/>
              </w:rPr>
            </w:pPr>
            <w:r w:rsidRPr="00401882">
              <w:rPr>
                <w:i w:val="0"/>
              </w:rPr>
              <w:t>Smaller funds would have access to a wider range of investment opportunities on a cost effective basis.  A recent good example is the bene</w:t>
            </w:r>
            <w:r>
              <w:rPr>
                <w:i w:val="0"/>
              </w:rPr>
              <w:t>fits that have been gained by F</w:t>
            </w:r>
            <w:r w:rsidRPr="00401882">
              <w:rPr>
                <w:i w:val="0"/>
              </w:rPr>
              <w:t>alkirk and Scottish Borders Council through collaboration with Lothian Pension Fund in a range of infrastructure based investmen</w:t>
            </w:r>
            <w:r>
              <w:rPr>
                <w:i w:val="0"/>
              </w:rPr>
              <w:t>ts.</w:t>
            </w:r>
            <w:r w:rsidR="0076513B">
              <w:rPr>
                <w:i w:val="0"/>
              </w:rPr>
              <w:t xml:space="preserve">  </w:t>
            </w:r>
            <w:r>
              <w:t xml:space="preserve">Co investment provides the opportunity to share legal, technical due diligence costs  </w:t>
            </w:r>
          </w:p>
          <w:p w:rsidR="00CB2A52" w:rsidRPr="0076513B" w:rsidRDefault="00CB2A52" w:rsidP="00C22506">
            <w:pPr>
              <w:pStyle w:val="Question"/>
              <w:rPr>
                <w:b/>
              </w:rPr>
            </w:pPr>
            <w:r w:rsidRPr="0076513B">
              <w:rPr>
                <w:b/>
              </w:rPr>
              <w:t>What would be the negative impacts?</w:t>
            </w:r>
          </w:p>
          <w:p w:rsidR="0076513B" w:rsidRDefault="0076513B" w:rsidP="00401882">
            <w:pPr>
              <w:rPr>
                <w:lang w:val="en-US"/>
              </w:rPr>
            </w:pPr>
            <w:r>
              <w:rPr>
                <w:lang w:val="en-US"/>
              </w:rPr>
              <w:t>There is however the potential for disagreement and challenge arising from service failure or adverse investment returns.  This could increase the risk of legal challenge and require formal dispute resolution procedures.</w:t>
            </w:r>
          </w:p>
          <w:p w:rsidR="0076513B" w:rsidRDefault="0076513B" w:rsidP="0076513B">
            <w:r>
              <w:t>Risk that under a collaborative investment model inappropriate resilience is placed upon the work of others and the necessary diligence on behalf of individual funds does not take place with sufficient rigor.  The effectiveness of any diligence process is reliant upon funds having a clear understanding of the key features and risks associated with investment products.</w:t>
            </w:r>
          </w:p>
          <w:p w:rsidR="00401882" w:rsidRPr="00401882" w:rsidRDefault="00401882" w:rsidP="00401882">
            <w:pPr>
              <w:rPr>
                <w:lang w:val="en-US"/>
              </w:rPr>
            </w:pPr>
            <w:r>
              <w:rPr>
                <w:lang w:val="en-US"/>
              </w:rPr>
              <w:t>While not a negative impact the complicated nature of these investment has required Lothian Pension Fund to set up an FCA registered company which manages the co investment process.</w:t>
            </w:r>
          </w:p>
          <w:p w:rsidR="0082613F" w:rsidRDefault="00CB2A52" w:rsidP="003803EE">
            <w:pPr>
              <w:pStyle w:val="ListNumber"/>
            </w:pPr>
            <w:r w:rsidRPr="0076513B">
              <w:t>Do you have any additional comments about this option?</w:t>
            </w:r>
            <w:r w:rsidR="009D4F8C" w:rsidRPr="0076513B">
              <w:t xml:space="preserve"> </w:t>
            </w:r>
          </w:p>
          <w:p w:rsidR="00401882" w:rsidRDefault="0082613F" w:rsidP="003803EE">
            <w:r>
              <w:lastRenderedPageBreak/>
              <w:t>Closer collaboration could allow the retention of local expertise in the Finance and HR function providing depth and resilience across Scotland, particularly in smaller authorities, which would otherwise be lost. It should be recognized that expertise in pensions and investment, an understanding of financial markets and pension benefits provides significant advantages and support to the wider local authority. This would be lost under a formal restructuring proposal but could be retained under a collaboration model.  This point is linked strongly to concerns over key person risk should restructuring occur allowing the retention of local experience to advise local councillors and board members appropriately.</w:t>
            </w:r>
          </w:p>
        </w:tc>
      </w:tr>
      <w:tr w:rsidR="00616BC9" w:rsidTr="003E37CD">
        <w:tc>
          <w:tcPr>
            <w:tcW w:w="9180" w:type="dxa"/>
            <w:tcBorders>
              <w:top w:val="nil"/>
              <w:left w:val="nil"/>
              <w:right w:val="nil"/>
            </w:tcBorders>
          </w:tcPr>
          <w:p w:rsidR="00516663" w:rsidRDefault="00516663" w:rsidP="00C22506">
            <w:pPr>
              <w:pStyle w:val="Heading2"/>
              <w:outlineLvl w:val="1"/>
            </w:pPr>
          </w:p>
          <w:p w:rsidR="00C22506" w:rsidRDefault="00616BC9" w:rsidP="00C22506">
            <w:pPr>
              <w:pStyle w:val="Heading2"/>
              <w:outlineLvl w:val="1"/>
            </w:pPr>
            <w:r>
              <w:t xml:space="preserve">Question 3: </w:t>
            </w:r>
            <w:r w:rsidRPr="00616BC9">
              <w:t>Pool investments between the 11 funds</w:t>
            </w:r>
          </w:p>
          <w:p w:rsidR="00616BC9" w:rsidRDefault="00616BC9" w:rsidP="00C22506">
            <w:r>
              <w:t>The text can wrap onto additional pages</w:t>
            </w:r>
            <w:r w:rsidR="00CB2A52">
              <w:t>.</w:t>
            </w:r>
          </w:p>
        </w:tc>
      </w:tr>
      <w:tr w:rsidR="00616BC9" w:rsidTr="003E37CD">
        <w:tc>
          <w:tcPr>
            <w:tcW w:w="9180" w:type="dxa"/>
          </w:tcPr>
          <w:p w:rsidR="00616BC9" w:rsidRDefault="00616BC9" w:rsidP="003803EE">
            <w:pPr>
              <w:pStyle w:val="ListNumber"/>
              <w:numPr>
                <w:ilvl w:val="0"/>
                <w:numId w:val="1"/>
              </w:numPr>
            </w:pPr>
            <w:r w:rsidRPr="00E57D63">
              <w:t xml:space="preserve">Cost of investing: </w:t>
            </w:r>
          </w:p>
          <w:p w:rsidR="00616BC9" w:rsidRPr="00BD68EC" w:rsidRDefault="00616BC9" w:rsidP="00C22506">
            <w:pPr>
              <w:pStyle w:val="Question"/>
              <w:rPr>
                <w:b/>
              </w:rPr>
            </w:pPr>
            <w:r w:rsidRPr="00BD68EC">
              <w:rPr>
                <w:b/>
              </w:rPr>
              <w:t xml:space="preserve">What impact do you think pooling investments between funds would have on the cost of investing? </w:t>
            </w:r>
          </w:p>
          <w:p w:rsidR="00516663" w:rsidRPr="00516663" w:rsidRDefault="00516663" w:rsidP="00516663">
            <w:pPr>
              <w:rPr>
                <w:lang w:val="en-US"/>
              </w:rPr>
            </w:pPr>
            <w:r>
              <w:rPr>
                <w:lang w:val="en-US"/>
              </w:rPr>
              <w:t>Pooling of investments would require significant restructuring of LGPS investment mandates at significant c</w:t>
            </w:r>
            <w:r w:rsidR="0082613F">
              <w:rPr>
                <w:lang w:val="en-US"/>
              </w:rPr>
              <w:t>ost.  T</w:t>
            </w:r>
            <w:r>
              <w:rPr>
                <w:lang w:val="en-US"/>
              </w:rPr>
              <w:t>he study undertaken by Mercers does not support the view that larger fund always have lower costs and perform better based on their snapshot ana</w:t>
            </w:r>
            <w:r w:rsidR="0082613F">
              <w:rPr>
                <w:lang w:val="en-US"/>
              </w:rPr>
              <w:t>lysis of the LGPS 2015 accounts</w:t>
            </w:r>
            <w:r>
              <w:rPr>
                <w:lang w:val="en-US"/>
              </w:rPr>
              <w:t>.</w:t>
            </w:r>
            <w:r w:rsidR="0082613F">
              <w:rPr>
                <w:lang w:val="en-US"/>
              </w:rPr>
              <w:t xml:space="preserve"> </w:t>
            </w:r>
            <w:r>
              <w:rPr>
                <w:lang w:val="en-US"/>
              </w:rPr>
              <w:t xml:space="preserve">  </w:t>
            </w:r>
          </w:p>
          <w:p w:rsidR="00616BC9" w:rsidRPr="00BD68EC" w:rsidRDefault="00616BC9" w:rsidP="00C22506">
            <w:pPr>
              <w:pStyle w:val="Question"/>
              <w:rPr>
                <w:b/>
              </w:rPr>
            </w:pPr>
            <w:r w:rsidRPr="00BD68EC">
              <w:rPr>
                <w:b/>
              </w:rPr>
              <w:t xml:space="preserve">What would be the positive impacts? </w:t>
            </w:r>
          </w:p>
          <w:p w:rsidR="00516663" w:rsidRPr="00516663" w:rsidRDefault="00516663" w:rsidP="00516663">
            <w:pPr>
              <w:rPr>
                <w:lang w:val="en-US"/>
              </w:rPr>
            </w:pPr>
            <w:r>
              <w:rPr>
                <w:lang w:val="en-US"/>
              </w:rPr>
              <w:t>There could be a positive impact on some of the smaller funds fee costs from investment pooling.  The larger funds e.g. Strathclyde are unlikely to see much if any benefit d</w:t>
            </w:r>
            <w:r w:rsidR="0082613F">
              <w:rPr>
                <w:lang w:val="en-US"/>
              </w:rPr>
              <w:t>ue to their existing scale.</w:t>
            </w:r>
            <w:r w:rsidR="0078474D">
              <w:rPr>
                <w:lang w:val="en-US"/>
              </w:rPr>
              <w:t xml:space="preserve">  Reducing costs is important but will only deliver benefit if it improves net investment returns</w:t>
            </w:r>
          </w:p>
          <w:p w:rsidR="00616BC9" w:rsidRPr="0078474D" w:rsidRDefault="00616BC9" w:rsidP="00C22506">
            <w:pPr>
              <w:pStyle w:val="Question"/>
              <w:rPr>
                <w:b/>
              </w:rPr>
            </w:pPr>
            <w:r w:rsidRPr="0078474D">
              <w:rPr>
                <w:b/>
              </w:rPr>
              <w:t>What would be the negative impacts?</w:t>
            </w:r>
          </w:p>
          <w:p w:rsidR="00516663" w:rsidRDefault="003F794E" w:rsidP="003F794E">
            <w:pPr>
              <w:rPr>
                <w:lang w:val="en-US"/>
              </w:rPr>
            </w:pPr>
            <w:r>
              <w:rPr>
                <w:lang w:val="en-US"/>
              </w:rPr>
              <w:t>The drive to reduce cost</w:t>
            </w:r>
            <w:r w:rsidR="00516663">
              <w:rPr>
                <w:lang w:val="en-US"/>
              </w:rPr>
              <w:t>s</w:t>
            </w:r>
            <w:r>
              <w:rPr>
                <w:lang w:val="en-US"/>
              </w:rPr>
              <w:t xml:space="preserve"> may lead to a reduction in the number of fund managers willing and able to enga</w:t>
            </w:r>
            <w:r w:rsidR="00516663">
              <w:rPr>
                <w:lang w:val="en-US"/>
              </w:rPr>
              <w:t>ge with the LPGS.  One</w:t>
            </w:r>
            <w:r>
              <w:rPr>
                <w:lang w:val="en-US"/>
              </w:rPr>
              <w:t xml:space="preserve"> effect of pooling on passive </w:t>
            </w:r>
            <w:r w:rsidR="00516663">
              <w:rPr>
                <w:lang w:val="en-US"/>
              </w:rPr>
              <w:t xml:space="preserve">investments in </w:t>
            </w:r>
            <w:r w:rsidR="003803EE">
              <w:rPr>
                <w:lang w:val="en-US"/>
              </w:rPr>
              <w:t>England and Wales</w:t>
            </w:r>
            <w:r w:rsidR="003803EE">
              <w:rPr>
                <w:lang w:val="en-US"/>
              </w:rPr>
              <w:t xml:space="preserve"> </w:t>
            </w:r>
            <w:r w:rsidR="00516663">
              <w:rPr>
                <w:lang w:val="en-US"/>
              </w:rPr>
              <w:t>is</w:t>
            </w:r>
            <w:r>
              <w:rPr>
                <w:lang w:val="en-US"/>
              </w:rPr>
              <w:t xml:space="preserve"> that fees have be</w:t>
            </w:r>
            <w:r w:rsidR="00516663">
              <w:rPr>
                <w:lang w:val="en-US"/>
              </w:rPr>
              <w:t>e</w:t>
            </w:r>
            <w:r>
              <w:rPr>
                <w:lang w:val="en-US"/>
              </w:rPr>
              <w:t xml:space="preserve">n reduced to the level where </w:t>
            </w:r>
            <w:r w:rsidR="00516663">
              <w:rPr>
                <w:lang w:val="en-US"/>
              </w:rPr>
              <w:t xml:space="preserve">there are now fewer larger players left in the market.  </w:t>
            </w:r>
            <w:r w:rsidR="0078474D">
              <w:rPr>
                <w:lang w:val="en-US"/>
              </w:rPr>
              <w:t xml:space="preserve">Gains made may be eroded over time by the oligopoly power enjoyed by the few remaining big players.  </w:t>
            </w:r>
          </w:p>
          <w:p w:rsidR="00516663" w:rsidRDefault="00516663" w:rsidP="003F794E">
            <w:pPr>
              <w:rPr>
                <w:lang w:val="en-US"/>
              </w:rPr>
            </w:pPr>
            <w:r>
              <w:rPr>
                <w:lang w:val="en-US"/>
              </w:rPr>
              <w:t>Pooling may</w:t>
            </w:r>
            <w:r w:rsidR="0078474D">
              <w:rPr>
                <w:lang w:val="en-US"/>
              </w:rPr>
              <w:t xml:space="preserve"> provide fee costs benefits</w:t>
            </w:r>
            <w:r w:rsidR="003F794E">
              <w:rPr>
                <w:lang w:val="en-US"/>
              </w:rPr>
              <w:t xml:space="preserve"> in t</w:t>
            </w:r>
            <w:r>
              <w:rPr>
                <w:lang w:val="en-US"/>
              </w:rPr>
              <w:t xml:space="preserve">he short term </w:t>
            </w:r>
            <w:r w:rsidR="003F794E">
              <w:rPr>
                <w:lang w:val="en-US"/>
              </w:rPr>
              <w:t>but</w:t>
            </w:r>
            <w:r>
              <w:rPr>
                <w:lang w:val="en-US"/>
              </w:rPr>
              <w:t xml:space="preserve"> these are also likely to be offset by transition and reorganization costs.  </w:t>
            </w:r>
          </w:p>
          <w:p w:rsidR="003F794E" w:rsidRDefault="0078474D" w:rsidP="003F794E">
            <w:pPr>
              <w:rPr>
                <w:lang w:val="en-US"/>
              </w:rPr>
            </w:pPr>
            <w:r>
              <w:rPr>
                <w:lang w:val="en-US"/>
              </w:rPr>
              <w:t>The drive to the bottom in terms of fees may lead to the</w:t>
            </w:r>
            <w:r w:rsidR="00516663">
              <w:rPr>
                <w:lang w:val="en-US"/>
              </w:rPr>
              <w:t xml:space="preserve"> risk that any short term fee gains m</w:t>
            </w:r>
            <w:r>
              <w:rPr>
                <w:lang w:val="en-US"/>
              </w:rPr>
              <w:t>ade through market competition may not be sustainable</w:t>
            </w:r>
            <w:r w:rsidR="00516663">
              <w:rPr>
                <w:lang w:val="en-US"/>
              </w:rPr>
              <w:t xml:space="preserve"> in the longer term - which could see </w:t>
            </w:r>
            <w:r w:rsidR="003F794E">
              <w:rPr>
                <w:lang w:val="en-US"/>
              </w:rPr>
              <w:t>rever</w:t>
            </w:r>
            <w:r w:rsidR="00516663">
              <w:rPr>
                <w:lang w:val="en-US"/>
              </w:rPr>
              <w:t>s</w:t>
            </w:r>
            <w:r w:rsidR="003F794E">
              <w:rPr>
                <w:lang w:val="en-US"/>
              </w:rPr>
              <w:t xml:space="preserve">al of the </w:t>
            </w:r>
            <w:r w:rsidR="00516663">
              <w:rPr>
                <w:lang w:val="en-US"/>
              </w:rPr>
              <w:t xml:space="preserve">current </w:t>
            </w:r>
            <w:r w:rsidR="003F794E">
              <w:rPr>
                <w:lang w:val="en-US"/>
              </w:rPr>
              <w:t xml:space="preserve">position </w:t>
            </w:r>
            <w:r w:rsidR="00516663">
              <w:rPr>
                <w:lang w:val="en-US"/>
              </w:rPr>
              <w:t>and fees increas</w:t>
            </w:r>
            <w:r w:rsidR="003F794E">
              <w:rPr>
                <w:lang w:val="en-US"/>
              </w:rPr>
              <w:t>ing.</w:t>
            </w:r>
          </w:p>
          <w:p w:rsidR="003F794E" w:rsidRPr="003F794E" w:rsidRDefault="001E38B7" w:rsidP="003F794E">
            <w:pPr>
              <w:rPr>
                <w:lang w:val="en-US"/>
              </w:rPr>
            </w:pPr>
            <w:r>
              <w:rPr>
                <w:lang w:val="en-US"/>
              </w:rPr>
              <w:t xml:space="preserve">The LGPS in Scotland </w:t>
            </w:r>
            <w:r w:rsidR="00516663">
              <w:rPr>
                <w:lang w:val="en-US"/>
              </w:rPr>
              <w:t>is alread</w:t>
            </w:r>
            <w:r>
              <w:rPr>
                <w:lang w:val="en-US"/>
              </w:rPr>
              <w:t xml:space="preserve">y able to access </w:t>
            </w:r>
            <w:r w:rsidR="00516663">
              <w:rPr>
                <w:lang w:val="en-US"/>
              </w:rPr>
              <w:t>comparatively low investment fees when compared to England and Wales as set out in Mercers structure review paper.  It should also be noted tha</w:t>
            </w:r>
            <w:r w:rsidR="0020369F">
              <w:rPr>
                <w:lang w:val="en-US"/>
              </w:rPr>
              <w:t xml:space="preserve">t </w:t>
            </w:r>
            <w:r w:rsidR="00516663">
              <w:rPr>
                <w:lang w:val="en-US"/>
              </w:rPr>
              <w:t>fees</w:t>
            </w:r>
            <w:r>
              <w:rPr>
                <w:lang w:val="en-US"/>
              </w:rPr>
              <w:t xml:space="preserve"> have been reduced on the back of pooling in England and Wales</w:t>
            </w:r>
            <w:r w:rsidR="0078474D">
              <w:rPr>
                <w:lang w:val="en-US"/>
              </w:rPr>
              <w:t>.</w:t>
            </w:r>
          </w:p>
          <w:p w:rsidR="00616BC9" w:rsidRPr="00D26C29" w:rsidRDefault="00616BC9" w:rsidP="00C22506">
            <w:pPr>
              <w:pStyle w:val="Question"/>
              <w:rPr>
                <w:b/>
              </w:rPr>
            </w:pPr>
            <w:r w:rsidRPr="00D26C29">
              <w:rPr>
                <w:b/>
              </w:rPr>
              <w:t xml:space="preserve">If asset pooling were possible, under what circumstances should a fund </w:t>
            </w:r>
            <w:r w:rsidRPr="00D26C29">
              <w:rPr>
                <w:b/>
              </w:rPr>
              <w:lastRenderedPageBreak/>
              <w:t>consider joining an asset pool?</w:t>
            </w:r>
          </w:p>
          <w:p w:rsidR="00516663" w:rsidRPr="00516663" w:rsidRDefault="0078474D" w:rsidP="00516663">
            <w:pPr>
              <w:rPr>
                <w:lang w:val="en-US"/>
              </w:rPr>
            </w:pPr>
            <w:r>
              <w:rPr>
                <w:lang w:val="en-US"/>
              </w:rPr>
              <w:t>P</w:t>
            </w:r>
            <w:r w:rsidR="00516663">
              <w:rPr>
                <w:lang w:val="en-US"/>
              </w:rPr>
              <w:t>ooling should only be undertaken if it provides significant advantages to the fund.  These advantages will differ depending on the circumstances of each fund.</w:t>
            </w:r>
            <w:r>
              <w:rPr>
                <w:lang w:val="en-US"/>
              </w:rPr>
              <w:t xml:space="preserve"> The</w:t>
            </w:r>
            <w:r w:rsidR="00BD68EC">
              <w:rPr>
                <w:lang w:val="en-US"/>
              </w:rPr>
              <w:t xml:space="preserve"> </w:t>
            </w:r>
            <w:r w:rsidR="003803EE">
              <w:rPr>
                <w:lang w:val="en-US"/>
              </w:rPr>
              <w:t>performance of the SBPF makes</w:t>
            </w:r>
            <w:r>
              <w:rPr>
                <w:lang w:val="en-US"/>
              </w:rPr>
              <w:t xml:space="preserve"> it difficult to </w:t>
            </w:r>
            <w:r w:rsidR="003803EE">
              <w:rPr>
                <w:lang w:val="en-US"/>
              </w:rPr>
              <w:t>envisage</w:t>
            </w:r>
            <w:r>
              <w:rPr>
                <w:lang w:val="en-US"/>
              </w:rPr>
              <w:t xml:space="preserve"> what the additional benefits of pooling would be.   </w:t>
            </w:r>
          </w:p>
          <w:p w:rsidR="00516663" w:rsidRPr="00D53348" w:rsidRDefault="00616BC9" w:rsidP="00516663">
            <w:pPr>
              <w:pStyle w:val="Question"/>
              <w:rPr>
                <w:b/>
              </w:rPr>
            </w:pPr>
            <w:r w:rsidRPr="00D53348">
              <w:rPr>
                <w:b/>
              </w:rPr>
              <w:t>Under which circumstances should the SLGPS consider directing funds to pool?</w:t>
            </w:r>
          </w:p>
          <w:p w:rsidR="00516663" w:rsidRDefault="00E45DC2" w:rsidP="00516663">
            <w:pPr>
              <w:rPr>
                <w:lang w:val="en-US"/>
              </w:rPr>
            </w:pPr>
            <w:r>
              <w:rPr>
                <w:lang w:val="en-US"/>
              </w:rPr>
              <w:t xml:space="preserve">SBPF is strongly opposed to any proposal that would enact pooling on anything other than a voluntary basis  </w:t>
            </w:r>
            <w:r w:rsidR="00516663">
              <w:rPr>
                <w:lang w:val="en-US"/>
              </w:rPr>
              <w:t>The only circumstances where this should be considered is if there was sustained evidence of governance failures at a local level or evidence that funds were completely unable to meet their long term liabilities on an actuarial basis</w:t>
            </w:r>
            <w:r>
              <w:rPr>
                <w:lang w:val="en-US"/>
              </w:rPr>
              <w:t>.</w:t>
            </w:r>
            <w:r w:rsidR="00516663">
              <w:rPr>
                <w:lang w:val="en-US"/>
              </w:rPr>
              <w:t xml:space="preserve"> </w:t>
            </w:r>
          </w:p>
          <w:p w:rsidR="00616BC9" w:rsidRDefault="00616BC9" w:rsidP="008E2F54">
            <w:pPr>
              <w:pStyle w:val="ListParagraph"/>
              <w:numPr>
                <w:ilvl w:val="0"/>
                <w:numId w:val="1"/>
              </w:numPr>
            </w:pPr>
            <w:r>
              <w:t xml:space="preserve">Governance: </w:t>
            </w:r>
          </w:p>
          <w:p w:rsidR="00616BC9" w:rsidRPr="00BD68EC" w:rsidRDefault="00616BC9" w:rsidP="00C22506">
            <w:pPr>
              <w:pStyle w:val="Question"/>
              <w:rPr>
                <w:b/>
              </w:rPr>
            </w:pPr>
            <w:r w:rsidRPr="00BD68EC">
              <w:rPr>
                <w:b/>
              </w:rPr>
              <w:t xml:space="preserve">What impact do you think pooling investments between funds would have on governance? </w:t>
            </w:r>
          </w:p>
          <w:p w:rsidR="00516663" w:rsidRPr="00516663" w:rsidRDefault="00E45DC2" w:rsidP="00516663">
            <w:pPr>
              <w:rPr>
                <w:lang w:val="en-US"/>
              </w:rPr>
            </w:pPr>
            <w:r>
              <w:rPr>
                <w:lang w:val="en-US"/>
              </w:rPr>
              <w:t>Poo</w:t>
            </w:r>
            <w:r w:rsidR="00BD68EC">
              <w:rPr>
                <w:lang w:val="en-US"/>
              </w:rPr>
              <w:t xml:space="preserve">ling is likely to </w:t>
            </w:r>
            <w:r w:rsidR="00516663">
              <w:rPr>
                <w:lang w:val="en-US"/>
              </w:rPr>
              <w:t>require additional governance and administrative structures to be established</w:t>
            </w:r>
            <w:r>
              <w:rPr>
                <w:lang w:val="en-US"/>
              </w:rPr>
              <w:t xml:space="preserve">. </w:t>
            </w:r>
            <w:r w:rsidR="00516663">
              <w:rPr>
                <w:lang w:val="en-US"/>
              </w:rPr>
              <w:t xml:space="preserve"> </w:t>
            </w:r>
          </w:p>
          <w:p w:rsidR="00E45DC2" w:rsidRPr="00BD68EC" w:rsidRDefault="00616BC9" w:rsidP="00516663">
            <w:pPr>
              <w:pStyle w:val="Question"/>
              <w:rPr>
                <w:b/>
              </w:rPr>
            </w:pPr>
            <w:r w:rsidRPr="00BD68EC">
              <w:rPr>
                <w:b/>
              </w:rPr>
              <w:t>What would be the positive impacts?</w:t>
            </w:r>
          </w:p>
          <w:p w:rsidR="00616BC9" w:rsidRPr="00C22506" w:rsidRDefault="00E45DC2" w:rsidP="00E45DC2">
            <w:pPr>
              <w:pStyle w:val="Question"/>
              <w:numPr>
                <w:ilvl w:val="0"/>
                <w:numId w:val="0"/>
              </w:numPr>
              <w:ind w:left="284"/>
            </w:pPr>
            <w:r>
              <w:t>There is as yet no evidence that pooling has had a positive impact in England and Wales</w:t>
            </w:r>
            <w:r w:rsidR="00616BC9" w:rsidRPr="00C22506">
              <w:t xml:space="preserve"> </w:t>
            </w:r>
          </w:p>
          <w:p w:rsidR="00616BC9" w:rsidRPr="00BD68EC" w:rsidRDefault="00616BC9" w:rsidP="00C22506">
            <w:pPr>
              <w:pStyle w:val="Question"/>
              <w:rPr>
                <w:b/>
              </w:rPr>
            </w:pPr>
            <w:r w:rsidRPr="00BD68EC">
              <w:rPr>
                <w:b/>
              </w:rPr>
              <w:t>What would be the negative impacts?</w:t>
            </w:r>
          </w:p>
          <w:p w:rsidR="00516663" w:rsidRPr="00516663" w:rsidRDefault="00E45DC2" w:rsidP="00516663">
            <w:pPr>
              <w:rPr>
                <w:lang w:val="en-US"/>
              </w:rPr>
            </w:pPr>
            <w:r>
              <w:rPr>
                <w:lang w:val="en-US"/>
              </w:rPr>
              <w:t>This option may require additional layers of gove</w:t>
            </w:r>
            <w:r w:rsidR="00D53348">
              <w:rPr>
                <w:lang w:val="en-US"/>
              </w:rPr>
              <w:t xml:space="preserve">rnance, lessen </w:t>
            </w:r>
            <w:r>
              <w:rPr>
                <w:lang w:val="en-US"/>
              </w:rPr>
              <w:t>local involvement in investment decisions and</w:t>
            </w:r>
            <w:r w:rsidR="00516663">
              <w:rPr>
                <w:lang w:val="en-US"/>
              </w:rPr>
              <w:t xml:space="preserve"> make decision making more remote.</w:t>
            </w:r>
          </w:p>
          <w:p w:rsidR="00616BC9" w:rsidRDefault="00616BC9" w:rsidP="003803EE">
            <w:pPr>
              <w:pStyle w:val="ListNumber"/>
              <w:numPr>
                <w:ilvl w:val="0"/>
                <w:numId w:val="1"/>
              </w:numPr>
            </w:pPr>
            <w:r>
              <w:t>Operating risks:</w:t>
            </w:r>
          </w:p>
          <w:p w:rsidR="00616BC9" w:rsidRPr="00D53348" w:rsidRDefault="00616BC9" w:rsidP="00C22506">
            <w:pPr>
              <w:pStyle w:val="Question"/>
              <w:rPr>
                <w:b/>
              </w:rPr>
            </w:pPr>
            <w:r w:rsidRPr="00D53348">
              <w:rPr>
                <w:b/>
              </w:rPr>
              <w:t xml:space="preserve">What impact do you think pooling investments between funds would have on operating risks? </w:t>
            </w:r>
          </w:p>
          <w:p w:rsidR="00516663" w:rsidRPr="00516663" w:rsidRDefault="00516663" w:rsidP="00516663">
            <w:pPr>
              <w:rPr>
                <w:lang w:val="en-US"/>
              </w:rPr>
            </w:pPr>
            <w:r>
              <w:rPr>
                <w:lang w:val="en-US"/>
              </w:rPr>
              <w:t xml:space="preserve">There is likely to be little impact on operating risks </w:t>
            </w:r>
            <w:r w:rsidR="00E45DC2">
              <w:rPr>
                <w:lang w:val="en-US"/>
              </w:rPr>
              <w:t>arising from</w:t>
            </w:r>
            <w:r>
              <w:rPr>
                <w:lang w:val="en-US"/>
              </w:rPr>
              <w:t xml:space="preserve"> pooling</w:t>
            </w:r>
            <w:r w:rsidR="00E45DC2">
              <w:rPr>
                <w:lang w:val="en-US"/>
              </w:rPr>
              <w:t>.  Day to day investment would continue to be carried out by line managers.</w:t>
            </w:r>
          </w:p>
          <w:p w:rsidR="00E45DC2" w:rsidRPr="00BD68EC" w:rsidRDefault="00616BC9" w:rsidP="00C22506">
            <w:pPr>
              <w:pStyle w:val="Question"/>
              <w:rPr>
                <w:b/>
              </w:rPr>
            </w:pPr>
            <w:r w:rsidRPr="00BD68EC">
              <w:rPr>
                <w:b/>
              </w:rPr>
              <w:t>What would be the positive impacts?</w:t>
            </w:r>
          </w:p>
          <w:p w:rsidR="00616BC9" w:rsidRPr="00C22506" w:rsidRDefault="00E45DC2" w:rsidP="00E45DC2">
            <w:pPr>
              <w:pStyle w:val="Question"/>
              <w:numPr>
                <w:ilvl w:val="0"/>
                <w:numId w:val="0"/>
              </w:numPr>
              <w:ind w:left="284"/>
            </w:pPr>
            <w:r>
              <w:t>SBCPF can not envisage any positive impact on operating risks from pooling.</w:t>
            </w:r>
            <w:r w:rsidR="00616BC9" w:rsidRPr="00C22506">
              <w:t xml:space="preserve"> </w:t>
            </w:r>
          </w:p>
          <w:p w:rsidR="00616BC9" w:rsidRPr="00BD68EC" w:rsidRDefault="00616BC9" w:rsidP="00C22506">
            <w:pPr>
              <w:pStyle w:val="Question"/>
              <w:rPr>
                <w:b/>
              </w:rPr>
            </w:pPr>
            <w:r w:rsidRPr="00BD68EC">
              <w:rPr>
                <w:b/>
              </w:rPr>
              <w:t>What would be the negative impacts?</w:t>
            </w:r>
          </w:p>
          <w:p w:rsidR="00BD68EC" w:rsidRDefault="00E45DC2" w:rsidP="00BD68EC">
            <w:pPr>
              <w:rPr>
                <w:lang w:val="en-US"/>
              </w:rPr>
            </w:pPr>
            <w:r>
              <w:rPr>
                <w:lang w:val="en-US"/>
              </w:rPr>
              <w:t>Pooling will in all likelihood lessen the number of fund managers in the LGPS concentrating investments with fewer firms, reducing diversification and arguably increasing risk.</w:t>
            </w:r>
          </w:p>
          <w:p w:rsidR="00BD68EC" w:rsidRDefault="00BD68EC" w:rsidP="00BD68EC">
            <w:pPr>
              <w:rPr>
                <w:lang w:val="en-US"/>
              </w:rPr>
            </w:pPr>
          </w:p>
          <w:p w:rsidR="00616BC9" w:rsidRPr="007C72DC" w:rsidRDefault="00616BC9" w:rsidP="008E2F54">
            <w:pPr>
              <w:pStyle w:val="ListParagraph"/>
              <w:numPr>
                <w:ilvl w:val="0"/>
                <w:numId w:val="1"/>
              </w:numPr>
              <w:rPr>
                <w:u w:val="single"/>
              </w:rPr>
            </w:pPr>
            <w:r>
              <w:lastRenderedPageBreak/>
              <w:t xml:space="preserve">Infrastructure: </w:t>
            </w:r>
          </w:p>
          <w:p w:rsidR="00E45DC2" w:rsidRPr="00D53348" w:rsidRDefault="00616BC9" w:rsidP="00C22506">
            <w:pPr>
              <w:pStyle w:val="Question"/>
              <w:rPr>
                <w:b/>
              </w:rPr>
            </w:pPr>
            <w:r w:rsidRPr="00D53348">
              <w:rPr>
                <w:b/>
              </w:rPr>
              <w:t xml:space="preserve">What impact do you think pooling investments between funds would have on funds’ ability to invest in infrastructure? </w:t>
            </w:r>
          </w:p>
          <w:p w:rsidR="00E45DC2" w:rsidRPr="00E45DC2" w:rsidRDefault="00E45DC2" w:rsidP="00E45DC2">
            <w:pPr>
              <w:rPr>
                <w:lang w:val="en-US"/>
              </w:rPr>
            </w:pPr>
            <w:r>
              <w:rPr>
                <w:lang w:val="en-US"/>
              </w:rPr>
              <w:t>Decisions to invest in infrastructure</w:t>
            </w:r>
            <w:r w:rsidR="0020369F">
              <w:rPr>
                <w:lang w:val="en-US"/>
              </w:rPr>
              <w:t xml:space="preserve"> are only taken where</w:t>
            </w:r>
            <w:r>
              <w:rPr>
                <w:lang w:val="en-US"/>
              </w:rPr>
              <w:t xml:space="preserve"> these provide additional benefit to a pension fund for example greater diversification.  Pooling is unlikely t</w:t>
            </w:r>
            <w:r w:rsidR="0020369F">
              <w:rPr>
                <w:lang w:val="en-US"/>
              </w:rPr>
              <w:t>o have any material impact on a pension</w:t>
            </w:r>
            <w:r>
              <w:rPr>
                <w:lang w:val="en-US"/>
              </w:rPr>
              <w:t xml:space="preserve"> funds </w:t>
            </w:r>
            <w:r w:rsidR="0020369F">
              <w:rPr>
                <w:lang w:val="en-US"/>
              </w:rPr>
              <w:t>appet</w:t>
            </w:r>
            <w:r>
              <w:rPr>
                <w:lang w:val="en-US"/>
              </w:rPr>
              <w:t>ite to invest in infrastructure. Strathclyde. Lothian, Fife, Falkirk and Scottish Borders already</w:t>
            </w:r>
            <w:r w:rsidR="0020369F">
              <w:rPr>
                <w:lang w:val="en-US"/>
              </w:rPr>
              <w:t xml:space="preserve"> invest in infrast</w:t>
            </w:r>
            <w:r>
              <w:rPr>
                <w:lang w:val="en-US"/>
              </w:rPr>
              <w:t>ructure.</w:t>
            </w:r>
          </w:p>
          <w:p w:rsidR="00616BC9" w:rsidRPr="00D53348" w:rsidRDefault="00616BC9" w:rsidP="00C22506">
            <w:pPr>
              <w:pStyle w:val="Question"/>
              <w:rPr>
                <w:b/>
              </w:rPr>
            </w:pPr>
            <w:r w:rsidRPr="00D53348">
              <w:rPr>
                <w:b/>
              </w:rPr>
              <w:t xml:space="preserve">What would be the positive impacts? </w:t>
            </w:r>
          </w:p>
          <w:p w:rsidR="00E45DC2" w:rsidRPr="00E45DC2" w:rsidRDefault="00E45DC2" w:rsidP="00E45DC2">
            <w:pPr>
              <w:rPr>
                <w:lang w:val="en-US"/>
              </w:rPr>
            </w:pPr>
            <w:r>
              <w:rPr>
                <w:lang w:val="en-US"/>
              </w:rPr>
              <w:t>None</w:t>
            </w:r>
          </w:p>
          <w:p w:rsidR="00616BC9" w:rsidRPr="007C72DC" w:rsidRDefault="00616BC9" w:rsidP="00C22506">
            <w:pPr>
              <w:pStyle w:val="Question"/>
              <w:rPr>
                <w:b/>
              </w:rPr>
            </w:pPr>
            <w:r w:rsidRPr="007C72DC">
              <w:rPr>
                <w:b/>
              </w:rPr>
              <w:t>What would be the negative impacts?</w:t>
            </w:r>
          </w:p>
          <w:p w:rsidR="0020369F" w:rsidRPr="0020369F" w:rsidRDefault="00BD68EC" w:rsidP="0020369F">
            <w:pPr>
              <w:rPr>
                <w:lang w:val="en-US"/>
              </w:rPr>
            </w:pPr>
            <w:r>
              <w:rPr>
                <w:lang w:val="en-US"/>
              </w:rPr>
              <w:t xml:space="preserve">None </w:t>
            </w:r>
          </w:p>
          <w:p w:rsidR="00616BC9" w:rsidRPr="009D4F8C" w:rsidRDefault="00616BC9" w:rsidP="003803EE">
            <w:pPr>
              <w:pStyle w:val="ListNumber"/>
              <w:rPr>
                <w:color w:val="FF0000"/>
              </w:rPr>
            </w:pPr>
            <w:r>
              <w:t>Do you have any additional comments about this option?</w:t>
            </w:r>
          </w:p>
          <w:p w:rsidR="0020369F" w:rsidRDefault="00401882" w:rsidP="0020369F">
            <w:r>
              <w:t>Yes</w:t>
            </w:r>
            <w:r w:rsidR="00516663">
              <w:t>.</w:t>
            </w:r>
            <w:r>
              <w:t xml:space="preserve"> </w:t>
            </w:r>
            <w:r w:rsidR="0020369F">
              <w:t>There are significant risks associated with this option and a lack of tangible data to support it.</w:t>
            </w:r>
          </w:p>
          <w:p w:rsidR="0020369F" w:rsidRDefault="0020369F" w:rsidP="0020369F">
            <w:r>
              <w:t>Pooling will introduce an added layer of bureaucracy would be required under this option.  Staff would be required to run the new pools at potentially significant cost if staffing arrangements and grades sit out with LGPS pay structures.</w:t>
            </w:r>
          </w:p>
          <w:p w:rsidR="0020369F" w:rsidRDefault="0020369F" w:rsidP="0020369F">
            <w:r>
              <w:t>There is no evidence that the pooling arrangements in England and Wales have delivered any cost benefits or improvements in governance. The costs of pooling may be significant and will require substantial professional advice from pension fund managers, investment consultants and actuaries</w:t>
            </w:r>
          </w:p>
          <w:p w:rsidR="0020369F" w:rsidRDefault="0020369F" w:rsidP="0020369F">
            <w:r>
              <w:t>Tangible evidence is scarce however anecdotal evidence of pooling so far seems to indicate that the process has been problematic with concerns over loss of local accountability and governance.</w:t>
            </w:r>
          </w:p>
          <w:p w:rsidR="0020369F" w:rsidRDefault="0020369F" w:rsidP="0020369F">
            <w:r>
              <w:t>The drive to establish larger pools may perversely have the effect of increasing fee costs in the longer term as fewer remaining providers are able to exercise their market dominance to increase fees with little risk of losing business.</w:t>
            </w:r>
          </w:p>
          <w:p w:rsidR="0020369F" w:rsidRDefault="0020369F" w:rsidP="0020369F">
            <w:r>
              <w:t>The timing of the financial transitions required to establish pools may be problematic if disinvestments are executed at a time when markets are volatile.  This will introduce risk and unnecessary cost.</w:t>
            </w:r>
          </w:p>
          <w:p w:rsidR="0020369F" w:rsidRDefault="0020369F" w:rsidP="0020369F">
            <w:r>
              <w:t>Increasing cost may perversely cause pools to invest in higher risk, higher yield assets to recover the ground lost through timing losses and to recover reorg/ transition costs.</w:t>
            </w:r>
          </w:p>
          <w:p w:rsidR="0020369F" w:rsidRDefault="0020369F" w:rsidP="0020369F">
            <w:r>
              <w:t xml:space="preserve">Pooling would result in a dilution of local expertise and knowledge potentially increasing risk to the smaller councils where staff often performs a wider role with respect to the financial management of the authority.  </w:t>
            </w:r>
          </w:p>
          <w:p w:rsidR="0020369F" w:rsidRDefault="0020369F" w:rsidP="0020369F">
            <w:r>
              <w:t xml:space="preserve">Pooling may thereby reduce opportunities for elected members to access financial advice and reduce expertise at a local level.  </w:t>
            </w:r>
          </w:p>
          <w:p w:rsidR="0020369F" w:rsidRDefault="0020369F" w:rsidP="0020369F">
            <w:r>
              <w:lastRenderedPageBreak/>
              <w:t>Pooling will not promote collaboration and expertise across the wider funds’ activities.</w:t>
            </w:r>
          </w:p>
          <w:p w:rsidR="00401882" w:rsidRDefault="0020369F" w:rsidP="00F003B6">
            <w:r>
              <w:t xml:space="preserve">Pooling </w:t>
            </w:r>
            <w:r w:rsidR="00F003B6">
              <w:t xml:space="preserve">of investment </w:t>
            </w:r>
            <w:r>
              <w:t>will offer no advantages for pension fund administration</w:t>
            </w:r>
            <w:r w:rsidR="00F003B6">
              <w:t>.</w:t>
            </w:r>
          </w:p>
          <w:p w:rsidR="00E070F6" w:rsidRPr="009D4F8C" w:rsidRDefault="00E070F6" w:rsidP="003803EE">
            <w:r>
              <w:t xml:space="preserve">It is concerning that the evidence base used for pooling in England and Wales is so </w:t>
            </w:r>
            <w:r w:rsidR="003803EE">
              <w:t>s</w:t>
            </w:r>
            <w:r>
              <w:t xml:space="preserve">elective, out of date and unrelated to UK LGPS funds.  </w:t>
            </w:r>
          </w:p>
        </w:tc>
      </w:tr>
    </w:tbl>
    <w:p w:rsidR="00616BC9" w:rsidRDefault="00616BC9" w:rsidP="00616BC9"/>
    <w:tbl>
      <w:tblPr>
        <w:tblStyle w:val="TableGrid"/>
        <w:tblW w:w="0" w:type="auto"/>
        <w:tblLook w:val="04A0" w:firstRow="1" w:lastRow="0" w:firstColumn="1" w:lastColumn="0" w:noHBand="0" w:noVBand="1"/>
      </w:tblPr>
      <w:tblGrid>
        <w:gridCol w:w="9180"/>
      </w:tblGrid>
      <w:tr w:rsidR="00616BC9" w:rsidTr="003E37CD">
        <w:tc>
          <w:tcPr>
            <w:tcW w:w="9180" w:type="dxa"/>
            <w:tcBorders>
              <w:top w:val="nil"/>
              <w:left w:val="nil"/>
              <w:right w:val="nil"/>
            </w:tcBorders>
          </w:tcPr>
          <w:p w:rsidR="00C22506" w:rsidRDefault="00616BC9" w:rsidP="00C22506">
            <w:pPr>
              <w:pStyle w:val="Heading2"/>
              <w:outlineLvl w:val="1"/>
            </w:pPr>
            <w:r>
              <w:t xml:space="preserve">Question 4: </w:t>
            </w:r>
            <w:r w:rsidRPr="00616BC9">
              <w:t>Merge the funds into one or more new funds</w:t>
            </w:r>
          </w:p>
          <w:p w:rsidR="00616BC9" w:rsidRDefault="00616BC9" w:rsidP="003E37CD">
            <w:r>
              <w:t>The text can wrap onto additional pages</w:t>
            </w:r>
            <w:r w:rsidR="00CB2A52">
              <w:t>.</w:t>
            </w:r>
          </w:p>
        </w:tc>
      </w:tr>
      <w:tr w:rsidR="00616BC9" w:rsidTr="003E37CD">
        <w:tc>
          <w:tcPr>
            <w:tcW w:w="9180" w:type="dxa"/>
          </w:tcPr>
          <w:p w:rsidR="00616BC9" w:rsidRPr="00C22506" w:rsidRDefault="00616BC9" w:rsidP="003803EE">
            <w:pPr>
              <w:pStyle w:val="ListNumber"/>
              <w:numPr>
                <w:ilvl w:val="0"/>
                <w:numId w:val="18"/>
              </w:numPr>
            </w:pPr>
            <w:r w:rsidRPr="00C22506">
              <w:t xml:space="preserve">Cost of investing: </w:t>
            </w:r>
          </w:p>
          <w:p w:rsidR="00616BC9" w:rsidRPr="00D412C2" w:rsidRDefault="00616BC9" w:rsidP="00C22506">
            <w:pPr>
              <w:pStyle w:val="Question"/>
              <w:rPr>
                <w:b/>
              </w:rPr>
            </w:pPr>
            <w:r w:rsidRPr="00D412C2">
              <w:rPr>
                <w:b/>
              </w:rPr>
              <w:t>What impact do you think mergers between funds would have on the cost of investing</w:t>
            </w:r>
            <w:r w:rsidR="00C22506" w:rsidRPr="00D412C2">
              <w:rPr>
                <w:b/>
              </w:rPr>
              <w:t>?</w:t>
            </w:r>
          </w:p>
          <w:p w:rsidR="0000229F" w:rsidRPr="00D53348" w:rsidRDefault="0000229F" w:rsidP="0000229F">
            <w:r>
              <w:rPr>
                <w:lang w:val="en-US"/>
              </w:rPr>
              <w:t xml:space="preserve">Merger would require significant restructuring of LGPS investment mandates at significant cost.  The study undertaken by Mercers does not support the view that larger fund always have lower costs and perform better based on their snapshot analysis of the LGPS 2015 accounts.  </w:t>
            </w:r>
            <w:r>
              <w:t>Both investment advisors and investment managers have noted that the effects of pooling in England and Wales are already providing benefits for the Scottish LGPS through lower fees while to date the costs of</w:t>
            </w:r>
            <w:r w:rsidR="00D53348">
              <w:t xml:space="preserve"> restructure have been avoided.</w:t>
            </w:r>
          </w:p>
          <w:p w:rsidR="00616BC9" w:rsidRPr="00D412C2" w:rsidRDefault="00616BC9" w:rsidP="00C22506">
            <w:pPr>
              <w:pStyle w:val="Question"/>
              <w:rPr>
                <w:b/>
              </w:rPr>
            </w:pPr>
            <w:r w:rsidRPr="00D412C2">
              <w:rPr>
                <w:b/>
              </w:rPr>
              <w:t xml:space="preserve">What would be the positive impacts? </w:t>
            </w:r>
          </w:p>
          <w:p w:rsidR="0000229F" w:rsidRPr="00D53348" w:rsidRDefault="0000229F" w:rsidP="00D53348">
            <w:r>
              <w:t xml:space="preserve">Larger funds tend to be able to access cheaper fees due to scale.  These may benefit the smaller funds who manage a minority of LGPS assets. </w:t>
            </w:r>
          </w:p>
          <w:p w:rsidR="0000229F" w:rsidRPr="00D412C2" w:rsidRDefault="00616BC9" w:rsidP="00516663">
            <w:pPr>
              <w:pStyle w:val="Question"/>
              <w:rPr>
                <w:b/>
              </w:rPr>
            </w:pPr>
            <w:r w:rsidRPr="00D412C2">
              <w:rPr>
                <w:b/>
              </w:rPr>
              <w:t>Wha</w:t>
            </w:r>
            <w:r w:rsidR="00516663" w:rsidRPr="00D412C2">
              <w:rPr>
                <w:b/>
              </w:rPr>
              <w:t>t would be the negative impacts?</w:t>
            </w:r>
          </w:p>
          <w:p w:rsidR="0000229F" w:rsidRDefault="0000229F" w:rsidP="0000229F">
            <w:pPr>
              <w:pStyle w:val="Question"/>
              <w:numPr>
                <w:ilvl w:val="0"/>
                <w:numId w:val="0"/>
              </w:numPr>
              <w:ind w:left="284"/>
            </w:pPr>
            <w:r>
              <w:t>The consultation document notes significant cost savings as a potential advantage of this option.  There is however as yet little UK and clearly no Scottish evidence to support this assertion The larger funds</w:t>
            </w:r>
            <w:r w:rsidR="001372D1">
              <w:t xml:space="preserve"> that</w:t>
            </w:r>
            <w:r>
              <w:t xml:space="preserve"> alrea</w:t>
            </w:r>
            <w:r w:rsidR="001372D1">
              <w:t>dy enjoy these benefits of sca</w:t>
            </w:r>
            <w:r>
              <w:t xml:space="preserve">le are unlikely </w:t>
            </w:r>
            <w:r w:rsidR="001372D1">
              <w:t>to</w:t>
            </w:r>
            <w:r w:rsidR="00D53348">
              <w:t xml:space="preserve"> see any benefits in ter</w:t>
            </w:r>
            <w:r>
              <w:t>ms of cost reduction</w:t>
            </w:r>
            <w:r w:rsidR="00D53348">
              <w:t xml:space="preserve"> as </w:t>
            </w:r>
            <w:r w:rsidR="001372D1">
              <w:t>they alre</w:t>
            </w:r>
            <w:r w:rsidR="00D53348">
              <w:t>a</w:t>
            </w:r>
            <w:r w:rsidR="001372D1">
              <w:t>dy access the cheapest fees.</w:t>
            </w:r>
          </w:p>
          <w:p w:rsidR="00516663" w:rsidRPr="001372D1" w:rsidRDefault="001372D1" w:rsidP="001372D1">
            <w:r>
              <w:t>Proposal is untried and the risks of merger are not fully understood.  This feels like a step in the dark for unquantified benefits</w:t>
            </w:r>
          </w:p>
          <w:p w:rsidR="00616BC9" w:rsidRPr="001372D1" w:rsidRDefault="00616BC9" w:rsidP="00C22506">
            <w:pPr>
              <w:pStyle w:val="Question"/>
              <w:rPr>
                <w:b/>
              </w:rPr>
            </w:pPr>
            <w:r w:rsidRPr="001372D1">
              <w:rPr>
                <w:b/>
              </w:rPr>
              <w:t>If merging were possible, under what circumstances should a fund consider a merger?</w:t>
            </w:r>
          </w:p>
          <w:p w:rsidR="001372D1" w:rsidRDefault="001372D1" w:rsidP="001372D1">
            <w:pPr>
              <w:pStyle w:val="Question"/>
              <w:numPr>
                <w:ilvl w:val="0"/>
                <w:numId w:val="0"/>
              </w:numPr>
              <w:ind w:left="284"/>
            </w:pPr>
            <w:r>
              <w:t>Forced merger could require primary legislation.</w:t>
            </w:r>
          </w:p>
          <w:p w:rsidR="00616BC9" w:rsidRPr="00D412C2" w:rsidRDefault="00616BC9" w:rsidP="00C22506">
            <w:pPr>
              <w:pStyle w:val="Question"/>
              <w:rPr>
                <w:b/>
              </w:rPr>
            </w:pPr>
            <w:r w:rsidRPr="00D412C2">
              <w:rPr>
                <w:b/>
              </w:rPr>
              <w:t>Under what circumstances should the SLGPS consider directing funds to merge?</w:t>
            </w:r>
          </w:p>
          <w:p w:rsidR="00516663" w:rsidRPr="00516663" w:rsidRDefault="00516663" w:rsidP="00516663">
            <w:pPr>
              <w:rPr>
                <w:lang w:val="en-US"/>
              </w:rPr>
            </w:pPr>
            <w:r>
              <w:rPr>
                <w:lang w:val="en-US"/>
              </w:rPr>
              <w:t xml:space="preserve">Significant evidence of governance failures or </w:t>
            </w:r>
            <w:r w:rsidR="00D412C2">
              <w:rPr>
                <w:lang w:val="en-US"/>
              </w:rPr>
              <w:t xml:space="preserve">the </w:t>
            </w:r>
            <w:r>
              <w:rPr>
                <w:lang w:val="en-US"/>
              </w:rPr>
              <w:t>inability to meet future liabilities</w:t>
            </w:r>
            <w:r w:rsidR="00D412C2">
              <w:rPr>
                <w:lang w:val="en-US"/>
              </w:rPr>
              <w:t xml:space="preserve"> following a deficit recovery period agreed with the fund actuary. </w:t>
            </w:r>
          </w:p>
          <w:p w:rsidR="00616BC9" w:rsidRDefault="00616BC9" w:rsidP="003803EE">
            <w:pPr>
              <w:pStyle w:val="ListNumber"/>
              <w:numPr>
                <w:ilvl w:val="0"/>
                <w:numId w:val="18"/>
              </w:numPr>
            </w:pPr>
            <w:r>
              <w:lastRenderedPageBreak/>
              <w:t xml:space="preserve">Governance: </w:t>
            </w:r>
          </w:p>
          <w:p w:rsidR="00616BC9" w:rsidRDefault="00616BC9" w:rsidP="00C22506">
            <w:pPr>
              <w:pStyle w:val="Question"/>
            </w:pPr>
            <w:r w:rsidRPr="00D412C2">
              <w:rPr>
                <w:b/>
              </w:rPr>
              <w:t>What impact do you think mergers between funds would have on governance</w:t>
            </w:r>
            <w:r w:rsidRPr="00C22506">
              <w:t xml:space="preserve">? </w:t>
            </w:r>
          </w:p>
          <w:p w:rsidR="00516663" w:rsidRPr="007C72DC" w:rsidRDefault="00516663" w:rsidP="00516663">
            <w:pPr>
              <w:rPr>
                <w:lang w:val="en-US"/>
              </w:rPr>
            </w:pPr>
            <w:r>
              <w:rPr>
                <w:lang w:val="en-US"/>
              </w:rPr>
              <w:t xml:space="preserve">It would have a significant impact on local governance for those councils who currently operate a </w:t>
            </w:r>
            <w:r w:rsidRPr="007C72DC">
              <w:rPr>
                <w:lang w:val="en-US"/>
              </w:rPr>
              <w:t xml:space="preserve">fund.  </w:t>
            </w:r>
          </w:p>
          <w:p w:rsidR="001372D1" w:rsidRPr="007C72DC" w:rsidRDefault="001372D1" w:rsidP="001372D1">
            <w:pPr>
              <w:pStyle w:val="Question"/>
              <w:numPr>
                <w:ilvl w:val="0"/>
                <w:numId w:val="0"/>
              </w:numPr>
              <w:ind w:left="284"/>
              <w:rPr>
                <w:i w:val="0"/>
              </w:rPr>
            </w:pPr>
            <w:r w:rsidRPr="007C72DC">
              <w:rPr>
                <w:i w:val="0"/>
              </w:rPr>
              <w:t xml:space="preserve"> A merged model with one governance structure would be cheaper to administer</w:t>
            </w:r>
            <w:r w:rsidR="00616BC9" w:rsidRPr="007C72DC">
              <w:rPr>
                <w:i w:val="0"/>
              </w:rPr>
              <w:t xml:space="preserve"> </w:t>
            </w:r>
          </w:p>
          <w:p w:rsidR="00516663" w:rsidRPr="00D412C2" w:rsidRDefault="00616BC9" w:rsidP="007C72DC">
            <w:pPr>
              <w:pStyle w:val="Question"/>
              <w:numPr>
                <w:ilvl w:val="0"/>
                <w:numId w:val="15"/>
              </w:numPr>
              <w:rPr>
                <w:b/>
              </w:rPr>
            </w:pPr>
            <w:r w:rsidRPr="00D412C2">
              <w:rPr>
                <w:b/>
              </w:rPr>
              <w:t>What would be the negative impacts?</w:t>
            </w:r>
            <w:r w:rsidR="001372D1" w:rsidRPr="00D412C2">
              <w:rPr>
                <w:b/>
              </w:rPr>
              <w:t xml:space="preserve"> </w:t>
            </w:r>
          </w:p>
          <w:p w:rsidR="001372D1" w:rsidRPr="001372D1" w:rsidRDefault="001372D1" w:rsidP="001372D1">
            <w:pPr>
              <w:rPr>
                <w:lang w:val="en-US"/>
              </w:rPr>
            </w:pPr>
            <w:r>
              <w:rPr>
                <w:lang w:val="en-US"/>
              </w:rPr>
              <w:t>This would eff</w:t>
            </w:r>
            <w:r w:rsidR="00D53348">
              <w:rPr>
                <w:lang w:val="en-US"/>
              </w:rPr>
              <w:t>e</w:t>
            </w:r>
            <w:r>
              <w:rPr>
                <w:lang w:val="en-US"/>
              </w:rPr>
              <w:t>ctively remove a local service from local control.  Recent examples of merger in other services at national level have proved to be controversial and problematic with a lack of clarity regarding the realisation of the original objectives.</w:t>
            </w:r>
          </w:p>
          <w:p w:rsidR="00616BC9" w:rsidRDefault="00616BC9" w:rsidP="003803EE">
            <w:pPr>
              <w:pStyle w:val="ListNumber"/>
              <w:numPr>
                <w:ilvl w:val="0"/>
                <w:numId w:val="18"/>
              </w:numPr>
            </w:pPr>
            <w:r>
              <w:t xml:space="preserve">Operating risks: </w:t>
            </w:r>
          </w:p>
          <w:p w:rsidR="00516663" w:rsidRPr="00D53348" w:rsidRDefault="00616BC9" w:rsidP="00C22506">
            <w:pPr>
              <w:pStyle w:val="Question"/>
              <w:rPr>
                <w:b/>
              </w:rPr>
            </w:pPr>
            <w:r w:rsidRPr="00D53348">
              <w:rPr>
                <w:b/>
              </w:rPr>
              <w:t>What impact do you think mergers between funds would have on operating risks?</w:t>
            </w:r>
          </w:p>
          <w:p w:rsidR="0048591F" w:rsidRPr="0048591F" w:rsidRDefault="0048591F" w:rsidP="0048591F">
            <w:r>
              <w:t xml:space="preserve">It is not clear what effect this option would have on funding levels, which could potentially change for individual employers under a fully merged structure.  </w:t>
            </w:r>
          </w:p>
          <w:p w:rsidR="00616BC9" w:rsidRPr="00D53348" w:rsidRDefault="00616BC9" w:rsidP="00C22506">
            <w:pPr>
              <w:pStyle w:val="Question"/>
              <w:rPr>
                <w:b/>
              </w:rPr>
            </w:pPr>
            <w:r w:rsidRPr="00D53348">
              <w:rPr>
                <w:b/>
              </w:rPr>
              <w:t xml:space="preserve">What would be the positive impacts? </w:t>
            </w:r>
          </w:p>
          <w:p w:rsidR="0048591F" w:rsidRPr="00C22506" w:rsidRDefault="0048591F" w:rsidP="0048591F">
            <w:pPr>
              <w:pStyle w:val="Question"/>
              <w:numPr>
                <w:ilvl w:val="0"/>
                <w:numId w:val="0"/>
              </w:numPr>
              <w:ind w:left="284"/>
            </w:pPr>
            <w:r>
              <w:t>This option would eliminate key person risk for smaller pension funds.</w:t>
            </w:r>
          </w:p>
          <w:p w:rsidR="00616BC9" w:rsidRPr="00D53348" w:rsidRDefault="00616BC9" w:rsidP="00C22506">
            <w:pPr>
              <w:pStyle w:val="Question"/>
              <w:rPr>
                <w:b/>
              </w:rPr>
            </w:pPr>
            <w:r w:rsidRPr="00D53348">
              <w:rPr>
                <w:b/>
              </w:rPr>
              <w:t>What would be the negative impacts?</w:t>
            </w:r>
          </w:p>
          <w:p w:rsidR="00516663" w:rsidRPr="00516663" w:rsidRDefault="0048591F" w:rsidP="00516663">
            <w:pPr>
              <w:rPr>
                <w:lang w:val="en-US"/>
              </w:rPr>
            </w:pPr>
            <w:r>
              <w:rPr>
                <w:lang w:val="en-US"/>
              </w:rPr>
              <w:t xml:space="preserve">This option </w:t>
            </w:r>
            <w:r w:rsidR="008E2F54">
              <w:rPr>
                <w:lang w:val="en-US"/>
              </w:rPr>
              <w:t>would however</w:t>
            </w:r>
            <w:r w:rsidR="00D53348">
              <w:rPr>
                <w:lang w:val="en-US"/>
              </w:rPr>
              <w:t xml:space="preserve"> </w:t>
            </w:r>
            <w:r>
              <w:rPr>
                <w:lang w:val="en-US"/>
              </w:rPr>
              <w:t>increase pressure on remaining council staff and as TUPE would be required reduce capacity at local level</w:t>
            </w:r>
            <w:r w:rsidR="00D53348">
              <w:rPr>
                <w:lang w:val="en-US"/>
              </w:rPr>
              <w:t>.</w:t>
            </w:r>
          </w:p>
          <w:p w:rsidR="00616BC9" w:rsidRPr="002541D9" w:rsidRDefault="00616BC9" w:rsidP="003803EE">
            <w:pPr>
              <w:pStyle w:val="ListNumber"/>
              <w:numPr>
                <w:ilvl w:val="0"/>
                <w:numId w:val="18"/>
              </w:numPr>
              <w:rPr>
                <w:u w:val="single"/>
              </w:rPr>
            </w:pPr>
            <w:r>
              <w:t>Infrastructure:</w:t>
            </w:r>
          </w:p>
          <w:p w:rsidR="00616BC9" w:rsidRPr="00D53348" w:rsidRDefault="00616BC9" w:rsidP="00C22506">
            <w:pPr>
              <w:pStyle w:val="Question"/>
              <w:rPr>
                <w:b/>
              </w:rPr>
            </w:pPr>
            <w:r w:rsidRPr="00D53348">
              <w:rPr>
                <w:b/>
              </w:rPr>
              <w:t xml:space="preserve">What impact do you think mergers between funds would have on funds’ ability to invest in infrastructure? </w:t>
            </w:r>
          </w:p>
          <w:p w:rsidR="0048591F" w:rsidRPr="0048591F" w:rsidRDefault="0048591F" w:rsidP="0048591F">
            <w:r>
              <w:t xml:space="preserve">It is unclear how merger would assist with the process of investment in infrastructure.  If such investment is identified as being the correct course of action for funds as part of their strategy this should be pursued.  </w:t>
            </w:r>
            <w:r w:rsidR="002471CC">
              <w:t xml:space="preserve">A number of pension funds are already investing I infrastructure.  </w:t>
            </w:r>
            <w:r>
              <w:t>Collaboration without restructure provides an equally valid route to access infrastructure at potentially much lower cost.</w:t>
            </w:r>
          </w:p>
          <w:p w:rsidR="00616BC9" w:rsidRPr="00D53348" w:rsidRDefault="00616BC9" w:rsidP="00C22506">
            <w:pPr>
              <w:pStyle w:val="Question"/>
              <w:rPr>
                <w:b/>
              </w:rPr>
            </w:pPr>
            <w:r w:rsidRPr="00D53348">
              <w:rPr>
                <w:b/>
              </w:rPr>
              <w:t xml:space="preserve">What would be the positive impacts? </w:t>
            </w:r>
          </w:p>
          <w:p w:rsidR="00516663" w:rsidRPr="00516663" w:rsidRDefault="0048591F" w:rsidP="0048591F">
            <w:pPr>
              <w:rPr>
                <w:lang w:val="en-US"/>
              </w:rPr>
            </w:pPr>
            <w:r>
              <w:rPr>
                <w:lang w:val="en-US"/>
              </w:rPr>
              <w:t xml:space="preserve">A larger fund may have more appetite for alternative infrastructure investments. </w:t>
            </w:r>
          </w:p>
          <w:p w:rsidR="00616BC9" w:rsidRPr="00D53348" w:rsidRDefault="00616BC9" w:rsidP="00C22506">
            <w:pPr>
              <w:pStyle w:val="Question"/>
              <w:rPr>
                <w:b/>
              </w:rPr>
            </w:pPr>
            <w:r w:rsidRPr="00D53348">
              <w:rPr>
                <w:b/>
              </w:rPr>
              <w:t>What would be the negative impacts?</w:t>
            </w:r>
          </w:p>
          <w:p w:rsidR="002471CC" w:rsidRPr="002471CC" w:rsidRDefault="002471CC" w:rsidP="002471CC">
            <w:pPr>
              <w:rPr>
                <w:lang w:val="en-US"/>
              </w:rPr>
            </w:pPr>
            <w:r>
              <w:rPr>
                <w:lang w:val="en-US"/>
              </w:rPr>
              <w:t xml:space="preserve">There is a danger that merger is seen as providing a solution to a political aspiration.  Potential Investment in infrastructure should not be seen as a driver for </w:t>
            </w:r>
            <w:r w:rsidR="00E070F6">
              <w:rPr>
                <w:lang w:val="en-US"/>
              </w:rPr>
              <w:t>this option.</w:t>
            </w:r>
          </w:p>
          <w:p w:rsidR="00516663" w:rsidRPr="00516663" w:rsidRDefault="00516663" w:rsidP="00516663">
            <w:pPr>
              <w:rPr>
                <w:lang w:val="en-US"/>
              </w:rPr>
            </w:pPr>
            <w:r>
              <w:rPr>
                <w:lang w:val="en-US"/>
              </w:rPr>
              <w:t>See below</w:t>
            </w:r>
          </w:p>
          <w:p w:rsidR="00616BC9" w:rsidRDefault="00616BC9" w:rsidP="003803EE">
            <w:pPr>
              <w:pStyle w:val="ListNumber"/>
              <w:numPr>
                <w:ilvl w:val="0"/>
                <w:numId w:val="18"/>
              </w:numPr>
            </w:pPr>
            <w:r>
              <w:lastRenderedPageBreak/>
              <w:t>Do you have any additional comments about this option?</w:t>
            </w:r>
          </w:p>
          <w:p w:rsidR="00E070F6" w:rsidRDefault="00E070F6" w:rsidP="00E070F6">
            <w:r>
              <w:t xml:space="preserve">New governance arrangements would be required and this would incur additional costs during transition. </w:t>
            </w:r>
          </w:p>
          <w:p w:rsidR="00E070F6" w:rsidRDefault="00E070F6" w:rsidP="00E070F6">
            <w:r>
              <w:t>The move to formal restructure would lessen links to local decision making for example with regard to investment strategy and asset allocation, removing a key role for elected members in the governance of pension funds.</w:t>
            </w:r>
          </w:p>
          <w:p w:rsidR="00E070F6" w:rsidRDefault="00E070F6" w:rsidP="00E070F6">
            <w:r>
              <w:t xml:space="preserve">The effect on Fund employer contribution is not known.  It should be noted however that some of the smaller funds have the lowest contribution rates at present indicating a high degree of efficiency in terms of cost and investment returns.  The funds in rural areas also have the some of the highest longevity for fund members.   </w:t>
            </w:r>
          </w:p>
          <w:p w:rsidR="00E070F6" w:rsidRDefault="00E070F6" w:rsidP="00E070F6">
            <w:r>
              <w:t xml:space="preserve">The effect of any merger on Fund diversification is not known.  There is a risk that investment in assets with higher risk profiles over many years may be required to compensate for the costs of merger. </w:t>
            </w:r>
          </w:p>
          <w:p w:rsidR="00E070F6" w:rsidRDefault="00E070F6" w:rsidP="00E070F6">
            <w:r>
              <w:t xml:space="preserve">Full Merger is likely to require expensive restructuring. There is no evidence that restructuring in England and Wales has, or will, deliver tangible benefits when compared to previous arrangements.  </w:t>
            </w:r>
          </w:p>
          <w:p w:rsidR="00E070F6" w:rsidRPr="00772908" w:rsidRDefault="00E070F6" w:rsidP="00E070F6">
            <w:r w:rsidRPr="00772908">
              <w:t xml:space="preserve">Any move to restructure the current LGPS must be based on sound empirical evidence and must deliver tangible improvement for </w:t>
            </w:r>
            <w:r w:rsidRPr="00E070F6">
              <w:t>both</w:t>
            </w:r>
            <w:r w:rsidRPr="00772908">
              <w:t xml:space="preserve"> large and smaller funds when compared to the current structure.</w:t>
            </w:r>
          </w:p>
          <w:p w:rsidR="00E070F6" w:rsidRPr="008E2F54" w:rsidRDefault="00E070F6" w:rsidP="003803EE">
            <w:pPr>
              <w:pStyle w:val="ListNumber"/>
            </w:pPr>
            <w:r w:rsidRPr="007C72DC">
              <w:t>The process of merger may unsettle the membership of the LGSP encouraging transfers out of the fund and discouraging new entrants.</w:t>
            </w:r>
          </w:p>
          <w:p w:rsidR="00616BC9" w:rsidRDefault="00616BC9" w:rsidP="00401882"/>
        </w:tc>
      </w:tr>
    </w:tbl>
    <w:p w:rsidR="00616BC9" w:rsidRDefault="00616BC9" w:rsidP="00D53AB0">
      <w:pPr>
        <w:jc w:val="center"/>
      </w:pPr>
      <w:r>
        <w:lastRenderedPageBreak/>
        <w:br/>
      </w:r>
    </w:p>
    <w:tbl>
      <w:tblPr>
        <w:tblStyle w:val="TableGrid"/>
        <w:tblW w:w="0" w:type="auto"/>
        <w:tblLook w:val="04A0" w:firstRow="1" w:lastRow="0" w:firstColumn="1" w:lastColumn="0" w:noHBand="0" w:noVBand="1"/>
      </w:tblPr>
      <w:tblGrid>
        <w:gridCol w:w="9180"/>
      </w:tblGrid>
      <w:tr w:rsidR="00616BC9" w:rsidTr="003E37CD">
        <w:tc>
          <w:tcPr>
            <w:tcW w:w="9180" w:type="dxa"/>
            <w:tcBorders>
              <w:top w:val="nil"/>
              <w:left w:val="nil"/>
              <w:right w:val="nil"/>
            </w:tcBorders>
          </w:tcPr>
          <w:p w:rsidR="00C22506" w:rsidRPr="00C22506" w:rsidRDefault="00616BC9" w:rsidP="00C22506">
            <w:pPr>
              <w:pStyle w:val="Heading2"/>
              <w:outlineLvl w:val="1"/>
            </w:pPr>
            <w:r w:rsidRPr="00C22506">
              <w:t>Question 5: Preferred and additional options</w:t>
            </w:r>
          </w:p>
          <w:p w:rsidR="00616BC9" w:rsidRDefault="00616BC9" w:rsidP="00C22506">
            <w:r>
              <w:t>The text can wrap onto additional pages</w:t>
            </w:r>
            <w:r w:rsidR="00CB2A52">
              <w:t>.</w:t>
            </w:r>
          </w:p>
        </w:tc>
      </w:tr>
      <w:tr w:rsidR="00616BC9" w:rsidTr="003E37CD">
        <w:tc>
          <w:tcPr>
            <w:tcW w:w="9180" w:type="dxa"/>
          </w:tcPr>
          <w:p w:rsidR="00616BC9" w:rsidRPr="008E2F54" w:rsidRDefault="00616BC9" w:rsidP="003803EE">
            <w:pPr>
              <w:pStyle w:val="ListNumber"/>
              <w:numPr>
                <w:ilvl w:val="0"/>
                <w:numId w:val="2"/>
              </w:numPr>
            </w:pPr>
            <w:r w:rsidRPr="008E2F54">
              <w:t>Which option does your organisation prefer? Please explain your preference.</w:t>
            </w:r>
          </w:p>
          <w:p w:rsidR="00D53348" w:rsidRPr="008E2F54" w:rsidRDefault="00D53348" w:rsidP="00D53348">
            <w:r w:rsidRPr="008E2F54">
              <w:t xml:space="preserve">The Fund believes that there is no reliable empirical case for change and much more work would have to be done to evaluate the benefits and risks associated with change before options involving pooling or merger could be supported as being in the best interests of the fund membership.  </w:t>
            </w:r>
          </w:p>
          <w:p w:rsidR="00D53348" w:rsidRPr="008E2F54" w:rsidRDefault="00D53348" w:rsidP="00D53348">
            <w:r w:rsidRPr="008E2F54">
              <w:t xml:space="preserve">In the absence of </w:t>
            </w:r>
            <w:r w:rsidR="003803EE">
              <w:t>evidence to the contrary the SB</w:t>
            </w:r>
            <w:r w:rsidRPr="008E2F54">
              <w:t xml:space="preserve">PF is of the view that such change is likely to have a detrimental impact on performance and pensioner confidence and for this reason </w:t>
            </w:r>
            <w:r w:rsidR="009F4B77">
              <w:t xml:space="preserve">believes option 1 should be considered.  However SBPF believes increased </w:t>
            </w:r>
            <w:r w:rsidR="003803EE">
              <w:t xml:space="preserve">collaboration </w:t>
            </w:r>
            <w:r w:rsidR="003803EE" w:rsidRPr="008E2F54">
              <w:t>(</w:t>
            </w:r>
            <w:r w:rsidRPr="008E2F54">
              <w:t xml:space="preserve">option </w:t>
            </w:r>
            <w:r w:rsidR="009F4B77">
              <w:t>2</w:t>
            </w:r>
            <w:r w:rsidRPr="008E2F54">
              <w:t xml:space="preserve">) </w:t>
            </w:r>
            <w:r w:rsidR="009F4B77">
              <w:t xml:space="preserve">could achieve a number of positive benefits whilst </w:t>
            </w:r>
            <w:r w:rsidR="003803EE">
              <w:t>the options</w:t>
            </w:r>
            <w:r w:rsidR="009F4B77">
              <w:t xml:space="preserve"> and results of the </w:t>
            </w:r>
            <w:r w:rsidR="003803EE">
              <w:rPr>
                <w:lang w:val="en-US"/>
              </w:rPr>
              <w:t>England and Wales</w:t>
            </w:r>
            <w:r w:rsidR="003803EE">
              <w:t xml:space="preserve"> </w:t>
            </w:r>
            <w:bookmarkStart w:id="0" w:name="_GoBack"/>
            <w:bookmarkEnd w:id="0"/>
            <w:r w:rsidR="009F4B77">
              <w:t xml:space="preserve">changes </w:t>
            </w:r>
            <w:r w:rsidR="003803EE">
              <w:t>undergo</w:t>
            </w:r>
            <w:r w:rsidR="009F4B77">
              <w:t xml:space="preserve"> a</w:t>
            </w:r>
            <w:r w:rsidRPr="008E2F54">
              <w:t xml:space="preserve"> proper evaluation of the evidence </w:t>
            </w:r>
            <w:r w:rsidR="009F4B77">
              <w:t xml:space="preserve">before </w:t>
            </w:r>
            <w:r w:rsidR="003803EE">
              <w:t xml:space="preserve">any </w:t>
            </w:r>
            <w:r w:rsidR="003803EE" w:rsidRPr="008E2F54">
              <w:t>change</w:t>
            </w:r>
            <w:r w:rsidRPr="008E2F54">
              <w:t xml:space="preserve"> is undertaken.  </w:t>
            </w:r>
            <w:r w:rsidR="009F4B77">
              <w:t xml:space="preserve">This would </w:t>
            </w:r>
            <w:r w:rsidRPr="008E2F54">
              <w:t xml:space="preserve">avoid the need for pooling or expensive, time consuming and un-proven structural reform. </w:t>
            </w:r>
          </w:p>
          <w:p w:rsidR="008E2F54" w:rsidRPr="008E2F54" w:rsidRDefault="008E2F54" w:rsidP="008E2F54">
            <w:pPr>
              <w:numPr>
                <w:ilvl w:val="0"/>
                <w:numId w:val="2"/>
              </w:numPr>
              <w:rPr>
                <w:b/>
                <w:lang w:val="en-US"/>
              </w:rPr>
            </w:pPr>
            <w:r w:rsidRPr="008E2F54">
              <w:rPr>
                <w:b/>
                <w:lang w:val="en-US"/>
              </w:rPr>
              <w:t xml:space="preserve">What other options should be considered for the future structure of the </w:t>
            </w:r>
            <w:r w:rsidRPr="008E2F54">
              <w:rPr>
                <w:b/>
                <w:lang w:val="en-US"/>
              </w:rPr>
              <w:lastRenderedPageBreak/>
              <w:t>LGPS?</w:t>
            </w:r>
          </w:p>
          <w:p w:rsidR="008E2F54" w:rsidRPr="008E2F54" w:rsidRDefault="008E2F54" w:rsidP="008E2F54">
            <w:r>
              <w:t>There are no other options SBCPF identify should be considered.</w:t>
            </w:r>
          </w:p>
          <w:p w:rsidR="008E2F54" w:rsidRPr="008E2F54" w:rsidRDefault="008E2F54" w:rsidP="008E2F54">
            <w:pPr>
              <w:numPr>
                <w:ilvl w:val="0"/>
                <w:numId w:val="2"/>
              </w:numPr>
              <w:rPr>
                <w:b/>
                <w:lang w:val="en-US"/>
              </w:rPr>
            </w:pPr>
            <w:r w:rsidRPr="008E2F54">
              <w:rPr>
                <w:b/>
                <w:lang w:val="en-US"/>
              </w:rPr>
              <w:t>What would be the advantages and disadvantages of these other option for funds’ investment costs, governance, operating risks and ability to invest in infrastructure?</w:t>
            </w:r>
          </w:p>
          <w:p w:rsidR="008E2F54" w:rsidRPr="008E2F54" w:rsidRDefault="008E2F54" w:rsidP="008E2F54"/>
          <w:p w:rsidR="008E2F54" w:rsidRPr="008E2F54" w:rsidRDefault="008E2F54" w:rsidP="008E2F54">
            <w:pPr>
              <w:numPr>
                <w:ilvl w:val="0"/>
                <w:numId w:val="2"/>
              </w:numPr>
              <w:rPr>
                <w:b/>
                <w:lang w:val="en-US"/>
              </w:rPr>
            </w:pPr>
            <w:r w:rsidRPr="008E2F54">
              <w:rPr>
                <w:b/>
                <w:lang w:val="en-US"/>
              </w:rPr>
              <w:t>Are there any other comments you would like to make?</w:t>
            </w:r>
          </w:p>
          <w:p w:rsidR="00616BC9" w:rsidRDefault="00616BC9" w:rsidP="003803EE">
            <w:pPr>
              <w:pStyle w:val="ListNumber"/>
            </w:pPr>
          </w:p>
        </w:tc>
      </w:tr>
    </w:tbl>
    <w:p w:rsidR="00513272" w:rsidRDefault="00513272" w:rsidP="00513272">
      <w:pPr>
        <w:jc w:val="right"/>
      </w:pPr>
    </w:p>
    <w:p w:rsidR="00422809" w:rsidRPr="005855EF" w:rsidRDefault="00422809" w:rsidP="00513272">
      <w:pPr>
        <w:jc w:val="right"/>
      </w:pPr>
      <w:r>
        <w:t>The consultation questions end.</w:t>
      </w:r>
    </w:p>
    <w:sectPr w:rsidR="00422809" w:rsidRPr="005855EF">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DC2" w:rsidRDefault="00E45DC2" w:rsidP="009A675B">
      <w:pPr>
        <w:spacing w:after="0"/>
      </w:pPr>
      <w:r>
        <w:separator/>
      </w:r>
    </w:p>
  </w:endnote>
  <w:endnote w:type="continuationSeparator" w:id="0">
    <w:p w:rsidR="00E45DC2" w:rsidRDefault="00E45DC2" w:rsidP="009A67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C2" w:rsidRDefault="00E45DC2" w:rsidP="009A675B">
    <w:pPr>
      <w:pStyle w:val="Footer"/>
      <w:jc w:val="right"/>
    </w:pPr>
    <w:r>
      <w:t xml:space="preserve">Page </w:t>
    </w:r>
    <w:r>
      <w:fldChar w:fldCharType="begin"/>
    </w:r>
    <w:r>
      <w:instrText xml:space="preserve"> PAGE   \* MERGEFORMAT </w:instrText>
    </w:r>
    <w:r>
      <w:fldChar w:fldCharType="separate"/>
    </w:r>
    <w:r w:rsidR="003803EE">
      <w:rPr>
        <w:noProof/>
      </w:rPr>
      <w:t>20</w:t>
    </w:r>
    <w:r>
      <w:rPr>
        <w:noProof/>
      </w:rPr>
      <w:fldChar w:fldCharType="end"/>
    </w:r>
    <w:r>
      <w:rPr>
        <w:noProof/>
      </w:rPr>
      <w:t xml:space="preserve"> of </w:t>
    </w:r>
    <w:r>
      <w:rPr>
        <w:noProof/>
      </w:rPr>
      <w:fldChar w:fldCharType="begin"/>
    </w:r>
    <w:r>
      <w:rPr>
        <w:noProof/>
      </w:rPr>
      <w:instrText xml:space="preserve"> NUMPAGES  \# "0" \* Arabic  \* MERGEFORMAT </w:instrText>
    </w:r>
    <w:r>
      <w:rPr>
        <w:noProof/>
      </w:rPr>
      <w:fldChar w:fldCharType="separate"/>
    </w:r>
    <w:r w:rsidR="003803EE">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DC2" w:rsidRDefault="00E45DC2" w:rsidP="009A675B">
      <w:pPr>
        <w:spacing w:after="0"/>
      </w:pPr>
      <w:r>
        <w:separator/>
      </w:r>
    </w:p>
  </w:footnote>
  <w:footnote w:type="continuationSeparator" w:id="0">
    <w:p w:rsidR="00E45DC2" w:rsidRDefault="00E45DC2" w:rsidP="009A675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DC0E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F5606"/>
    <w:multiLevelType w:val="hybridMultilevel"/>
    <w:tmpl w:val="DC3C7C04"/>
    <w:lvl w:ilvl="0" w:tplc="33522318">
      <w:start w:val="1"/>
      <w:numFmt w:val="lowerLetter"/>
      <w:lvlText w:val="%1)"/>
      <w:lvlJc w:val="left"/>
      <w:pPr>
        <w:ind w:left="428" w:hanging="360"/>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2">
    <w:nsid w:val="007656B2"/>
    <w:multiLevelType w:val="hybridMultilevel"/>
    <w:tmpl w:val="4760C1D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CA71D60"/>
    <w:multiLevelType w:val="hybridMultilevel"/>
    <w:tmpl w:val="618EE2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F1372C0"/>
    <w:multiLevelType w:val="hybridMultilevel"/>
    <w:tmpl w:val="AB36EB4A"/>
    <w:lvl w:ilvl="0" w:tplc="5C220D5A">
      <w:start w:val="1"/>
      <w:numFmt w:val="lowerLetter"/>
      <w:lvlText w:val="%1)"/>
      <w:lvlJc w:val="left"/>
      <w:pPr>
        <w:ind w:left="428" w:hanging="360"/>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5">
    <w:nsid w:val="16E15DB9"/>
    <w:multiLevelType w:val="hybridMultilevel"/>
    <w:tmpl w:val="850A602C"/>
    <w:lvl w:ilvl="0" w:tplc="B060F5C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740509"/>
    <w:multiLevelType w:val="multilevel"/>
    <w:tmpl w:val="F13E9622"/>
    <w:lvl w:ilvl="0">
      <w:start w:val="1"/>
      <w:numFmt w:val="decimal"/>
      <w:lvlText w:val="Appendix %1"/>
      <w:lvlJc w:val="left"/>
      <w:pPr>
        <w:ind w:left="360" w:hanging="360"/>
      </w:pPr>
      <w:rPr>
        <w:rFonts w:ascii="Arial Bold" w:cs="Times New Roman" w:hint="cs"/>
        <w:b/>
        <w:bCs w:val="0"/>
        <w:i w:val="0"/>
        <w:iCs w:val="0"/>
        <w:caps w:val="0"/>
        <w:smallCaps w:val="0"/>
        <w:strike w:val="0"/>
        <w:dstrike w:val="0"/>
        <w:noProof w:val="0"/>
        <w:vanish w:val="0"/>
        <w:color w:val="EEECE1" w:themeColor="background2"/>
        <w:spacing w:val="0"/>
        <w:kern w:val="0"/>
        <w:position w:val="0"/>
        <w:sz w:val="36"/>
        <w:u w:val="none"/>
        <w:vertAlign w:val="baseline"/>
        <w:em w:val="none"/>
      </w:rPr>
    </w:lvl>
    <w:lvl w:ilvl="1">
      <w:start w:val="1"/>
      <w:numFmt w:val="decimal"/>
      <w:pStyle w:val="BodyAppendix"/>
      <w:lvlText w:val="A%1.%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7">
    <w:nsid w:val="230F1F1C"/>
    <w:multiLevelType w:val="hybridMultilevel"/>
    <w:tmpl w:val="EE0612F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5774662"/>
    <w:multiLevelType w:val="hybridMultilevel"/>
    <w:tmpl w:val="B0FEA6C2"/>
    <w:lvl w:ilvl="0" w:tplc="CA98BF36">
      <w:start w:val="1"/>
      <w:numFmt w:val="bullet"/>
      <w:pStyle w:val="11-Bullet1"/>
      <w:lvlText w:val=""/>
      <w:lvlJc w:val="left"/>
      <w:pPr>
        <w:ind w:left="814" w:hanging="360"/>
      </w:pPr>
      <w:rPr>
        <w:rFonts w:ascii="Symbol" w:hAnsi="Symbol" w:hint="default"/>
        <w:color w:val="00607A"/>
      </w:rPr>
    </w:lvl>
    <w:lvl w:ilvl="1" w:tplc="7A360236">
      <w:start w:val="1"/>
      <w:numFmt w:val="bullet"/>
      <w:lvlText w:val="o"/>
      <w:lvlJc w:val="left"/>
      <w:pPr>
        <w:tabs>
          <w:tab w:val="num" w:pos="1800"/>
        </w:tabs>
        <w:ind w:left="1800" w:hanging="360"/>
      </w:pPr>
      <w:rPr>
        <w:rFonts w:ascii="Courier New" w:hAnsi="Courier New" w:cs="Times New Roman" w:hint="default"/>
      </w:rPr>
    </w:lvl>
    <w:lvl w:ilvl="2" w:tplc="7C26633A">
      <w:start w:val="1"/>
      <w:numFmt w:val="bullet"/>
      <w:lvlText w:val=""/>
      <w:lvlJc w:val="left"/>
      <w:pPr>
        <w:tabs>
          <w:tab w:val="num" w:pos="2520"/>
        </w:tabs>
        <w:ind w:left="2520" w:hanging="360"/>
      </w:pPr>
      <w:rPr>
        <w:rFonts w:ascii="Wingdings" w:hAnsi="Wingdings" w:hint="default"/>
      </w:rPr>
    </w:lvl>
    <w:lvl w:ilvl="3" w:tplc="2FA65558">
      <w:start w:val="1"/>
      <w:numFmt w:val="bullet"/>
      <w:lvlText w:val=""/>
      <w:lvlJc w:val="left"/>
      <w:pPr>
        <w:tabs>
          <w:tab w:val="num" w:pos="3240"/>
        </w:tabs>
        <w:ind w:left="3240" w:hanging="360"/>
      </w:pPr>
      <w:rPr>
        <w:rFonts w:ascii="Symbol" w:hAnsi="Symbol" w:hint="default"/>
      </w:rPr>
    </w:lvl>
    <w:lvl w:ilvl="4" w:tplc="617A1CF0">
      <w:start w:val="1"/>
      <w:numFmt w:val="bullet"/>
      <w:lvlText w:val="o"/>
      <w:lvlJc w:val="left"/>
      <w:pPr>
        <w:tabs>
          <w:tab w:val="num" w:pos="3960"/>
        </w:tabs>
        <w:ind w:left="3960" w:hanging="360"/>
      </w:pPr>
      <w:rPr>
        <w:rFonts w:ascii="Courier New" w:hAnsi="Courier New" w:cs="Times New Roman" w:hint="default"/>
      </w:rPr>
    </w:lvl>
    <w:lvl w:ilvl="5" w:tplc="7A46520A">
      <w:start w:val="1"/>
      <w:numFmt w:val="bullet"/>
      <w:lvlText w:val=""/>
      <w:lvlJc w:val="left"/>
      <w:pPr>
        <w:tabs>
          <w:tab w:val="num" w:pos="4680"/>
        </w:tabs>
        <w:ind w:left="4680" w:hanging="360"/>
      </w:pPr>
      <w:rPr>
        <w:rFonts w:ascii="Wingdings" w:hAnsi="Wingdings" w:hint="default"/>
      </w:rPr>
    </w:lvl>
    <w:lvl w:ilvl="6" w:tplc="9BB28336">
      <w:start w:val="1"/>
      <w:numFmt w:val="bullet"/>
      <w:lvlText w:val=""/>
      <w:lvlJc w:val="left"/>
      <w:pPr>
        <w:tabs>
          <w:tab w:val="num" w:pos="5400"/>
        </w:tabs>
        <w:ind w:left="5400" w:hanging="360"/>
      </w:pPr>
      <w:rPr>
        <w:rFonts w:ascii="Symbol" w:hAnsi="Symbol" w:hint="default"/>
      </w:rPr>
    </w:lvl>
    <w:lvl w:ilvl="7" w:tplc="2382779C">
      <w:start w:val="1"/>
      <w:numFmt w:val="bullet"/>
      <w:lvlText w:val="o"/>
      <w:lvlJc w:val="left"/>
      <w:pPr>
        <w:tabs>
          <w:tab w:val="num" w:pos="6120"/>
        </w:tabs>
        <w:ind w:left="6120" w:hanging="360"/>
      </w:pPr>
      <w:rPr>
        <w:rFonts w:ascii="Courier New" w:hAnsi="Courier New" w:cs="Times New Roman" w:hint="default"/>
      </w:rPr>
    </w:lvl>
    <w:lvl w:ilvl="8" w:tplc="FD78A750">
      <w:start w:val="1"/>
      <w:numFmt w:val="bullet"/>
      <w:lvlText w:val=""/>
      <w:lvlJc w:val="left"/>
      <w:pPr>
        <w:tabs>
          <w:tab w:val="num" w:pos="6840"/>
        </w:tabs>
        <w:ind w:left="6840" w:hanging="360"/>
      </w:pPr>
      <w:rPr>
        <w:rFonts w:ascii="Wingdings" w:hAnsi="Wingdings" w:hint="default"/>
      </w:rPr>
    </w:lvl>
  </w:abstractNum>
  <w:abstractNum w:abstractNumId="9">
    <w:nsid w:val="388D2DA7"/>
    <w:multiLevelType w:val="hybridMultilevel"/>
    <w:tmpl w:val="27ECE03E"/>
    <w:lvl w:ilvl="0" w:tplc="6EE6CE54">
      <w:start w:val="1"/>
      <w:numFmt w:val="bullet"/>
      <w:lvlText w:val="•"/>
      <w:lvlJc w:val="left"/>
      <w:pPr>
        <w:tabs>
          <w:tab w:val="num" w:pos="720"/>
        </w:tabs>
        <w:ind w:left="720" w:hanging="360"/>
      </w:pPr>
      <w:rPr>
        <w:rFonts w:ascii="Times New Roman" w:hAnsi="Times New Roman" w:hint="default"/>
      </w:rPr>
    </w:lvl>
    <w:lvl w:ilvl="1" w:tplc="2348E3E8" w:tentative="1">
      <w:start w:val="1"/>
      <w:numFmt w:val="bullet"/>
      <w:lvlText w:val="•"/>
      <w:lvlJc w:val="left"/>
      <w:pPr>
        <w:tabs>
          <w:tab w:val="num" w:pos="1440"/>
        </w:tabs>
        <w:ind w:left="1440" w:hanging="360"/>
      </w:pPr>
      <w:rPr>
        <w:rFonts w:ascii="Times New Roman" w:hAnsi="Times New Roman" w:hint="default"/>
      </w:rPr>
    </w:lvl>
    <w:lvl w:ilvl="2" w:tplc="C3320E62" w:tentative="1">
      <w:start w:val="1"/>
      <w:numFmt w:val="bullet"/>
      <w:lvlText w:val="•"/>
      <w:lvlJc w:val="left"/>
      <w:pPr>
        <w:tabs>
          <w:tab w:val="num" w:pos="2160"/>
        </w:tabs>
        <w:ind w:left="2160" w:hanging="360"/>
      </w:pPr>
      <w:rPr>
        <w:rFonts w:ascii="Times New Roman" w:hAnsi="Times New Roman" w:hint="default"/>
      </w:rPr>
    </w:lvl>
    <w:lvl w:ilvl="3" w:tplc="2EBEA532" w:tentative="1">
      <w:start w:val="1"/>
      <w:numFmt w:val="bullet"/>
      <w:lvlText w:val="•"/>
      <w:lvlJc w:val="left"/>
      <w:pPr>
        <w:tabs>
          <w:tab w:val="num" w:pos="2880"/>
        </w:tabs>
        <w:ind w:left="2880" w:hanging="360"/>
      </w:pPr>
      <w:rPr>
        <w:rFonts w:ascii="Times New Roman" w:hAnsi="Times New Roman" w:hint="default"/>
      </w:rPr>
    </w:lvl>
    <w:lvl w:ilvl="4" w:tplc="217A9C7C" w:tentative="1">
      <w:start w:val="1"/>
      <w:numFmt w:val="bullet"/>
      <w:lvlText w:val="•"/>
      <w:lvlJc w:val="left"/>
      <w:pPr>
        <w:tabs>
          <w:tab w:val="num" w:pos="3600"/>
        </w:tabs>
        <w:ind w:left="3600" w:hanging="360"/>
      </w:pPr>
      <w:rPr>
        <w:rFonts w:ascii="Times New Roman" w:hAnsi="Times New Roman" w:hint="default"/>
      </w:rPr>
    </w:lvl>
    <w:lvl w:ilvl="5" w:tplc="E2206BD4" w:tentative="1">
      <w:start w:val="1"/>
      <w:numFmt w:val="bullet"/>
      <w:lvlText w:val="•"/>
      <w:lvlJc w:val="left"/>
      <w:pPr>
        <w:tabs>
          <w:tab w:val="num" w:pos="4320"/>
        </w:tabs>
        <w:ind w:left="4320" w:hanging="360"/>
      </w:pPr>
      <w:rPr>
        <w:rFonts w:ascii="Times New Roman" w:hAnsi="Times New Roman" w:hint="default"/>
      </w:rPr>
    </w:lvl>
    <w:lvl w:ilvl="6" w:tplc="0A9A3082" w:tentative="1">
      <w:start w:val="1"/>
      <w:numFmt w:val="bullet"/>
      <w:lvlText w:val="•"/>
      <w:lvlJc w:val="left"/>
      <w:pPr>
        <w:tabs>
          <w:tab w:val="num" w:pos="5040"/>
        </w:tabs>
        <w:ind w:left="5040" w:hanging="360"/>
      </w:pPr>
      <w:rPr>
        <w:rFonts w:ascii="Times New Roman" w:hAnsi="Times New Roman" w:hint="default"/>
      </w:rPr>
    </w:lvl>
    <w:lvl w:ilvl="7" w:tplc="718EDA2A" w:tentative="1">
      <w:start w:val="1"/>
      <w:numFmt w:val="bullet"/>
      <w:lvlText w:val="•"/>
      <w:lvlJc w:val="left"/>
      <w:pPr>
        <w:tabs>
          <w:tab w:val="num" w:pos="5760"/>
        </w:tabs>
        <w:ind w:left="5760" w:hanging="360"/>
      </w:pPr>
      <w:rPr>
        <w:rFonts w:ascii="Times New Roman" w:hAnsi="Times New Roman" w:hint="default"/>
      </w:rPr>
    </w:lvl>
    <w:lvl w:ilvl="8" w:tplc="3FAC1B8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AF03A03"/>
    <w:multiLevelType w:val="hybridMultilevel"/>
    <w:tmpl w:val="68F4AF46"/>
    <w:lvl w:ilvl="0" w:tplc="1AB03F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59695E"/>
    <w:multiLevelType w:val="hybridMultilevel"/>
    <w:tmpl w:val="07CA2AE6"/>
    <w:lvl w:ilvl="0" w:tplc="FFFFFFFF">
      <w:start w:val="1"/>
      <w:numFmt w:val="bullet"/>
      <w:pStyle w:val="BulletedBodyText"/>
      <w:lvlText w:val=""/>
      <w:lvlJc w:val="left"/>
      <w:pPr>
        <w:tabs>
          <w:tab w:val="num" w:pos="1134"/>
        </w:tabs>
        <w:ind w:left="1134" w:hanging="567"/>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CD86116"/>
    <w:multiLevelType w:val="hybridMultilevel"/>
    <w:tmpl w:val="B6686BC6"/>
    <w:lvl w:ilvl="0" w:tplc="F9C6D88A">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F05A13"/>
    <w:multiLevelType w:val="hybridMultilevel"/>
    <w:tmpl w:val="FE1E705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2492656"/>
    <w:multiLevelType w:val="hybridMultilevel"/>
    <w:tmpl w:val="D540B2A2"/>
    <w:lvl w:ilvl="0" w:tplc="FC2E1BEC">
      <w:start w:val="4"/>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A2025FC"/>
    <w:multiLevelType w:val="hybridMultilevel"/>
    <w:tmpl w:val="BC58EF7A"/>
    <w:lvl w:ilvl="0" w:tplc="77D803BE">
      <w:start w:val="1"/>
      <w:numFmt w:val="bullet"/>
      <w:pStyle w:val="22-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6DAE7CE7"/>
    <w:multiLevelType w:val="hybridMultilevel"/>
    <w:tmpl w:val="485E90D4"/>
    <w:lvl w:ilvl="0" w:tplc="BC14EB4A">
      <w:start w:val="1"/>
      <w:numFmt w:val="bullet"/>
      <w:pStyle w:val="Questio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D81642"/>
    <w:multiLevelType w:val="hybridMultilevel"/>
    <w:tmpl w:val="90522F6E"/>
    <w:lvl w:ilvl="0" w:tplc="0D76C10A">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B6530AF"/>
    <w:multiLevelType w:val="multilevel"/>
    <w:tmpl w:val="28745480"/>
    <w:lvl w:ilvl="0">
      <w:start w:val="1"/>
      <w:numFmt w:val="decimal"/>
      <w:lvlText w:val="%1."/>
      <w:lvlJc w:val="left"/>
      <w:pPr>
        <w:ind w:left="502" w:hanging="360"/>
      </w:pPr>
      <w:rPr>
        <w:color w:val="993366"/>
        <w:sz w:val="28"/>
        <w:szCs w:val="28"/>
      </w:rPr>
    </w:lvl>
    <w:lvl w:ilvl="1">
      <w:start w:val="1"/>
      <w:numFmt w:val="decimal"/>
      <w:isLgl/>
      <w:lvlText w:val="%1.%2"/>
      <w:lvlJc w:val="left"/>
      <w:pPr>
        <w:ind w:left="1080" w:hanging="720"/>
      </w:pPr>
      <w:rPr>
        <w:rFonts w:hint="default"/>
        <w:b w:val="0"/>
        <w:color w:val="auto"/>
        <w:sz w:val="22"/>
        <w:szCs w:val="22"/>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13"/>
  </w:num>
  <w:num w:numId="2">
    <w:abstractNumId w:val="1"/>
  </w:num>
  <w:num w:numId="3">
    <w:abstractNumId w:val="17"/>
  </w:num>
  <w:num w:numId="4">
    <w:abstractNumId w:val="2"/>
  </w:num>
  <w:num w:numId="5">
    <w:abstractNumId w:val="7"/>
  </w:num>
  <w:num w:numId="6">
    <w:abstractNumId w:val="16"/>
  </w:num>
  <w:num w:numId="7">
    <w:abstractNumId w:val="11"/>
  </w:num>
  <w:num w:numId="8">
    <w:abstractNumId w:val="3"/>
  </w:num>
  <w:num w:numId="9">
    <w:abstractNumId w:val="18"/>
  </w:num>
  <w:num w:numId="10">
    <w:abstractNumId w:val="0"/>
  </w:num>
  <w:num w:numId="11">
    <w:abstractNumId w:val="15"/>
  </w:num>
  <w:num w:numId="12">
    <w:abstractNumId w:val="6"/>
  </w:num>
  <w:num w:numId="13">
    <w:abstractNumId w:val="8"/>
  </w:num>
  <w:num w:numId="14">
    <w:abstractNumId w:val="9"/>
  </w:num>
  <w:num w:numId="15">
    <w:abstractNumId w:val="10"/>
  </w:num>
  <w:num w:numId="16">
    <w:abstractNumId w:val="7"/>
    <w:lvlOverride w:ilvl="0">
      <w:startOverride w:val="1"/>
    </w:lvlOverride>
  </w:num>
  <w:num w:numId="17">
    <w:abstractNumId w:val="14"/>
  </w:num>
  <w:num w:numId="18">
    <w:abstractNumId w:val="5"/>
  </w:num>
  <w:num w:numId="19">
    <w:abstractNumId w:val="12"/>
  </w:num>
  <w:num w:numId="2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9A"/>
    <w:rsid w:val="00000194"/>
    <w:rsid w:val="0000229F"/>
    <w:rsid w:val="0004360B"/>
    <w:rsid w:val="00045A66"/>
    <w:rsid w:val="00095FE2"/>
    <w:rsid w:val="000A181B"/>
    <w:rsid w:val="000C4E12"/>
    <w:rsid w:val="000E5376"/>
    <w:rsid w:val="000F1E3D"/>
    <w:rsid w:val="000F3B43"/>
    <w:rsid w:val="00113F41"/>
    <w:rsid w:val="00134C25"/>
    <w:rsid w:val="001372D1"/>
    <w:rsid w:val="001E38B7"/>
    <w:rsid w:val="001E39D0"/>
    <w:rsid w:val="0020369F"/>
    <w:rsid w:val="0020468E"/>
    <w:rsid w:val="002471CC"/>
    <w:rsid w:val="00262801"/>
    <w:rsid w:val="0026669A"/>
    <w:rsid w:val="00273FDE"/>
    <w:rsid w:val="00287529"/>
    <w:rsid w:val="002927F9"/>
    <w:rsid w:val="002A571A"/>
    <w:rsid w:val="002E3B85"/>
    <w:rsid w:val="003078AE"/>
    <w:rsid w:val="003146BB"/>
    <w:rsid w:val="003345DD"/>
    <w:rsid w:val="00340630"/>
    <w:rsid w:val="003803EE"/>
    <w:rsid w:val="003870F3"/>
    <w:rsid w:val="003A6F96"/>
    <w:rsid w:val="003E37CD"/>
    <w:rsid w:val="003F50B3"/>
    <w:rsid w:val="003F794E"/>
    <w:rsid w:val="00401882"/>
    <w:rsid w:val="004173D9"/>
    <w:rsid w:val="00422809"/>
    <w:rsid w:val="00437F57"/>
    <w:rsid w:val="004606C8"/>
    <w:rsid w:val="00470B0B"/>
    <w:rsid w:val="0048591F"/>
    <w:rsid w:val="00497D94"/>
    <w:rsid w:val="004A1B14"/>
    <w:rsid w:val="004B2A40"/>
    <w:rsid w:val="004D17A3"/>
    <w:rsid w:val="004F6682"/>
    <w:rsid w:val="00513272"/>
    <w:rsid w:val="00516663"/>
    <w:rsid w:val="0052691B"/>
    <w:rsid w:val="00540254"/>
    <w:rsid w:val="005547AC"/>
    <w:rsid w:val="00583F2B"/>
    <w:rsid w:val="005B6AD2"/>
    <w:rsid w:val="005F2EDE"/>
    <w:rsid w:val="00616BC9"/>
    <w:rsid w:val="006509CD"/>
    <w:rsid w:val="006A555E"/>
    <w:rsid w:val="006C0584"/>
    <w:rsid w:val="00717180"/>
    <w:rsid w:val="0076513B"/>
    <w:rsid w:val="007676AC"/>
    <w:rsid w:val="0078474D"/>
    <w:rsid w:val="007B4104"/>
    <w:rsid w:val="007C255D"/>
    <w:rsid w:val="007C72DC"/>
    <w:rsid w:val="0082613F"/>
    <w:rsid w:val="0084244D"/>
    <w:rsid w:val="008618A0"/>
    <w:rsid w:val="008927CC"/>
    <w:rsid w:val="008E2F54"/>
    <w:rsid w:val="0090241C"/>
    <w:rsid w:val="009060E7"/>
    <w:rsid w:val="009131E7"/>
    <w:rsid w:val="00917C30"/>
    <w:rsid w:val="009212F8"/>
    <w:rsid w:val="009321FA"/>
    <w:rsid w:val="00935371"/>
    <w:rsid w:val="00970363"/>
    <w:rsid w:val="00970822"/>
    <w:rsid w:val="00974E74"/>
    <w:rsid w:val="009806E4"/>
    <w:rsid w:val="00985C96"/>
    <w:rsid w:val="00986BAB"/>
    <w:rsid w:val="009A675B"/>
    <w:rsid w:val="009B15C2"/>
    <w:rsid w:val="009D0557"/>
    <w:rsid w:val="009D4F44"/>
    <w:rsid w:val="009D4F8C"/>
    <w:rsid w:val="009D4FE4"/>
    <w:rsid w:val="009E1FE2"/>
    <w:rsid w:val="009E3205"/>
    <w:rsid w:val="009F4B77"/>
    <w:rsid w:val="00A904AA"/>
    <w:rsid w:val="00B21217"/>
    <w:rsid w:val="00B22CA2"/>
    <w:rsid w:val="00B3236B"/>
    <w:rsid w:val="00B944F1"/>
    <w:rsid w:val="00BA5000"/>
    <w:rsid w:val="00BD68EC"/>
    <w:rsid w:val="00BF2EBA"/>
    <w:rsid w:val="00C22506"/>
    <w:rsid w:val="00C2291E"/>
    <w:rsid w:val="00C2648E"/>
    <w:rsid w:val="00C312C6"/>
    <w:rsid w:val="00C866B8"/>
    <w:rsid w:val="00CB2A52"/>
    <w:rsid w:val="00CD5218"/>
    <w:rsid w:val="00CF00C6"/>
    <w:rsid w:val="00CF0C4E"/>
    <w:rsid w:val="00CF7900"/>
    <w:rsid w:val="00D26C29"/>
    <w:rsid w:val="00D32732"/>
    <w:rsid w:val="00D412C2"/>
    <w:rsid w:val="00D53348"/>
    <w:rsid w:val="00D53AB0"/>
    <w:rsid w:val="00D669C5"/>
    <w:rsid w:val="00D67FEA"/>
    <w:rsid w:val="00D842D1"/>
    <w:rsid w:val="00D91E43"/>
    <w:rsid w:val="00DD4776"/>
    <w:rsid w:val="00E070F6"/>
    <w:rsid w:val="00E332E0"/>
    <w:rsid w:val="00E44DE6"/>
    <w:rsid w:val="00E45DC2"/>
    <w:rsid w:val="00E61E31"/>
    <w:rsid w:val="00E66357"/>
    <w:rsid w:val="00E77E31"/>
    <w:rsid w:val="00E8158F"/>
    <w:rsid w:val="00E84FCF"/>
    <w:rsid w:val="00EE71FB"/>
    <w:rsid w:val="00F003B6"/>
    <w:rsid w:val="00F12556"/>
    <w:rsid w:val="00FA591C"/>
    <w:rsid w:val="00FA6458"/>
    <w:rsid w:val="00FC2289"/>
    <w:rsid w:val="00FC3F53"/>
    <w:rsid w:val="00FE2E81"/>
    <w:rsid w:val="00FF5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9A"/>
    <w:pPr>
      <w:spacing w:after="240" w:line="240" w:lineRule="auto"/>
    </w:pPr>
    <w:rPr>
      <w:rFonts w:ascii="Arial" w:eastAsia="Times New Roman" w:hAnsi="Arial" w:cs="Times New Roman"/>
      <w:sz w:val="23"/>
      <w:szCs w:val="20"/>
    </w:rPr>
  </w:style>
  <w:style w:type="paragraph" w:styleId="Heading1">
    <w:name w:val="heading 1"/>
    <w:basedOn w:val="Normal"/>
    <w:next w:val="Normal"/>
    <w:link w:val="Heading1Char"/>
    <w:qFormat/>
    <w:rsid w:val="00C312C6"/>
    <w:pPr>
      <w:keepNext/>
      <w:spacing w:after="0"/>
      <w:outlineLvl w:val="0"/>
    </w:pPr>
    <w:rPr>
      <w:rFonts w:ascii="Times New Roman" w:hAnsi="Times New Roman"/>
      <w:i/>
      <w:sz w:val="20"/>
      <w:lang w:eastAsia="en-GB"/>
    </w:rPr>
  </w:style>
  <w:style w:type="paragraph" w:styleId="Heading2">
    <w:name w:val="heading 2"/>
    <w:basedOn w:val="Normal"/>
    <w:next w:val="Normal"/>
    <w:link w:val="Heading2Char"/>
    <w:unhideWhenUsed/>
    <w:qFormat/>
    <w:rsid w:val="00C22506"/>
    <w:pPr>
      <w:keepNext/>
      <w:keepLines/>
      <w:spacing w:after="0"/>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C312C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312C6"/>
    <w:pPr>
      <w:keepNext/>
      <w:spacing w:after="0"/>
      <w:outlineLvl w:val="3"/>
    </w:pPr>
    <w:rPr>
      <w:b/>
      <w:color w:val="000000"/>
      <w:sz w:val="20"/>
    </w:rPr>
  </w:style>
  <w:style w:type="paragraph" w:styleId="Heading5">
    <w:name w:val="heading 5"/>
    <w:basedOn w:val="Normal"/>
    <w:next w:val="Normal"/>
    <w:link w:val="Heading5Char"/>
    <w:qFormat/>
    <w:rsid w:val="00C312C6"/>
    <w:pPr>
      <w:keepNext/>
      <w:spacing w:after="0"/>
      <w:outlineLvl w:val="4"/>
    </w:pPr>
    <w:rPr>
      <w:color w:val="000000"/>
      <w:sz w:val="20"/>
      <w:u w:val="single"/>
    </w:rPr>
  </w:style>
  <w:style w:type="paragraph" w:styleId="Heading6">
    <w:name w:val="heading 6"/>
    <w:basedOn w:val="Normal"/>
    <w:next w:val="Normal"/>
    <w:link w:val="Heading6Char"/>
    <w:qFormat/>
    <w:rsid w:val="00C312C6"/>
    <w:pPr>
      <w:keepNext/>
      <w:spacing w:after="0"/>
      <w:outlineLvl w:val="5"/>
    </w:pPr>
    <w:rPr>
      <w:sz w:val="20"/>
      <w:u w:val="single"/>
      <w:lang w:eastAsia="en-GB"/>
    </w:rPr>
  </w:style>
  <w:style w:type="paragraph" w:styleId="Heading7">
    <w:name w:val="heading 7"/>
    <w:basedOn w:val="Normal"/>
    <w:next w:val="Normal"/>
    <w:link w:val="Heading7Char"/>
    <w:qFormat/>
    <w:rsid w:val="00C312C6"/>
    <w:pPr>
      <w:keepNext/>
      <w:spacing w:after="0"/>
      <w:ind w:left="-284"/>
      <w:outlineLvl w:val="6"/>
    </w:pPr>
    <w:rPr>
      <w:color w:val="0000FF"/>
      <w:sz w:val="20"/>
      <w:u w:val="single"/>
      <w:lang w:eastAsia="en-GB"/>
    </w:rPr>
  </w:style>
  <w:style w:type="paragraph" w:styleId="Heading8">
    <w:name w:val="heading 8"/>
    <w:basedOn w:val="Normal"/>
    <w:next w:val="Normal"/>
    <w:link w:val="Heading8Char"/>
    <w:qFormat/>
    <w:rsid w:val="00C312C6"/>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C312C6"/>
    <w:pPr>
      <w:tabs>
        <w:tab w:val="num" w:pos="1584"/>
      </w:tabs>
      <w:spacing w:before="240" w:after="60"/>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2506"/>
    <w:rPr>
      <w:rFonts w:ascii="Arial" w:eastAsiaTheme="majorEastAsia" w:hAnsi="Arial" w:cstheme="majorBidi"/>
      <w:b/>
      <w:bCs/>
      <w:sz w:val="28"/>
      <w:szCs w:val="26"/>
    </w:rPr>
  </w:style>
  <w:style w:type="table" w:styleId="TableGrid">
    <w:name w:val="Table Grid"/>
    <w:basedOn w:val="TableNormal"/>
    <w:uiPriority w:val="59"/>
    <w:rsid w:val="00266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91E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E43"/>
    <w:rPr>
      <w:rFonts w:ascii="Tahoma" w:eastAsia="Times New Roman" w:hAnsi="Tahoma" w:cs="Tahoma"/>
      <w:sz w:val="16"/>
      <w:szCs w:val="16"/>
    </w:rPr>
  </w:style>
  <w:style w:type="paragraph" w:styleId="Header">
    <w:name w:val="header"/>
    <w:basedOn w:val="Normal"/>
    <w:link w:val="HeaderChar"/>
    <w:unhideWhenUsed/>
    <w:rsid w:val="009A675B"/>
    <w:pPr>
      <w:tabs>
        <w:tab w:val="center" w:pos="4513"/>
        <w:tab w:val="right" w:pos="9026"/>
      </w:tabs>
      <w:spacing w:after="0"/>
    </w:pPr>
  </w:style>
  <w:style w:type="character" w:customStyle="1" w:styleId="HeaderChar">
    <w:name w:val="Header Char"/>
    <w:basedOn w:val="DefaultParagraphFont"/>
    <w:link w:val="Header"/>
    <w:uiPriority w:val="99"/>
    <w:rsid w:val="009A675B"/>
    <w:rPr>
      <w:rFonts w:ascii="Arial" w:eastAsia="Times New Roman" w:hAnsi="Arial" w:cs="Times New Roman"/>
      <w:sz w:val="23"/>
      <w:szCs w:val="20"/>
    </w:rPr>
  </w:style>
  <w:style w:type="paragraph" w:styleId="Footer">
    <w:name w:val="footer"/>
    <w:basedOn w:val="Normal"/>
    <w:link w:val="FooterChar"/>
    <w:uiPriority w:val="99"/>
    <w:unhideWhenUsed/>
    <w:rsid w:val="009A675B"/>
    <w:pPr>
      <w:tabs>
        <w:tab w:val="center" w:pos="4513"/>
        <w:tab w:val="right" w:pos="9026"/>
      </w:tabs>
      <w:spacing w:after="0"/>
    </w:pPr>
  </w:style>
  <w:style w:type="character" w:customStyle="1" w:styleId="FooterChar">
    <w:name w:val="Footer Char"/>
    <w:basedOn w:val="DefaultParagraphFont"/>
    <w:link w:val="Footer"/>
    <w:uiPriority w:val="99"/>
    <w:rsid w:val="009A675B"/>
    <w:rPr>
      <w:rFonts w:ascii="Arial" w:eastAsia="Times New Roman" w:hAnsi="Arial" w:cs="Times New Roman"/>
      <w:sz w:val="23"/>
      <w:szCs w:val="20"/>
    </w:rPr>
  </w:style>
  <w:style w:type="character" w:styleId="Hyperlink">
    <w:name w:val="Hyperlink"/>
    <w:unhideWhenUsed/>
    <w:rsid w:val="00513272"/>
    <w:rPr>
      <w:color w:val="0563C1"/>
      <w:u w:val="single"/>
    </w:rPr>
  </w:style>
  <w:style w:type="paragraph" w:styleId="ListParagraph">
    <w:name w:val="List Paragraph"/>
    <w:basedOn w:val="Normal"/>
    <w:uiPriority w:val="34"/>
    <w:qFormat/>
    <w:rsid w:val="00513272"/>
    <w:pPr>
      <w:ind w:left="720"/>
      <w:contextualSpacing/>
    </w:pPr>
  </w:style>
  <w:style w:type="paragraph" w:styleId="ListNumber">
    <w:name w:val="List Number"/>
    <w:basedOn w:val="Normal"/>
    <w:autoRedefine/>
    <w:uiPriority w:val="99"/>
    <w:unhideWhenUsed/>
    <w:rsid w:val="003803EE"/>
    <w:rPr>
      <w:b/>
      <w:lang w:val="en-US"/>
    </w:rPr>
  </w:style>
  <w:style w:type="paragraph" w:customStyle="1" w:styleId="Question">
    <w:name w:val="Question"/>
    <w:basedOn w:val="Normal"/>
    <w:next w:val="Normal"/>
    <w:qFormat/>
    <w:rsid w:val="00C22506"/>
    <w:pPr>
      <w:numPr>
        <w:numId w:val="6"/>
      </w:numPr>
      <w:ind w:left="284" w:hanging="284"/>
    </w:pPr>
    <w:rPr>
      <w:i/>
      <w:lang w:val="en-US"/>
    </w:rPr>
  </w:style>
  <w:style w:type="character" w:customStyle="1" w:styleId="Heading3Char">
    <w:name w:val="Heading 3 Char"/>
    <w:basedOn w:val="DefaultParagraphFont"/>
    <w:link w:val="Heading3"/>
    <w:uiPriority w:val="9"/>
    <w:semiHidden/>
    <w:rsid w:val="00C312C6"/>
    <w:rPr>
      <w:rFonts w:asciiTheme="majorHAnsi" w:eastAsiaTheme="majorEastAsia" w:hAnsiTheme="majorHAnsi" w:cstheme="majorBidi"/>
      <w:b/>
      <w:bCs/>
      <w:color w:val="4F81BD" w:themeColor="accent1"/>
      <w:sz w:val="23"/>
      <w:szCs w:val="20"/>
    </w:rPr>
  </w:style>
  <w:style w:type="character" w:customStyle="1" w:styleId="Heading1Char">
    <w:name w:val="Heading 1 Char"/>
    <w:basedOn w:val="DefaultParagraphFont"/>
    <w:link w:val="Heading1"/>
    <w:rsid w:val="00C312C6"/>
    <w:rPr>
      <w:rFonts w:ascii="Times New Roman" w:eastAsia="Times New Roman" w:hAnsi="Times New Roman" w:cs="Times New Roman"/>
      <w:i/>
      <w:sz w:val="20"/>
      <w:szCs w:val="20"/>
      <w:lang w:eastAsia="en-GB"/>
    </w:rPr>
  </w:style>
  <w:style w:type="character" w:customStyle="1" w:styleId="Heading4Char">
    <w:name w:val="Heading 4 Char"/>
    <w:basedOn w:val="DefaultParagraphFont"/>
    <w:link w:val="Heading4"/>
    <w:rsid w:val="00C312C6"/>
    <w:rPr>
      <w:rFonts w:ascii="Arial" w:eastAsia="Times New Roman" w:hAnsi="Arial" w:cs="Times New Roman"/>
      <w:b/>
      <w:color w:val="000000"/>
      <w:sz w:val="20"/>
      <w:szCs w:val="20"/>
    </w:rPr>
  </w:style>
  <w:style w:type="character" w:customStyle="1" w:styleId="Heading5Char">
    <w:name w:val="Heading 5 Char"/>
    <w:basedOn w:val="DefaultParagraphFont"/>
    <w:link w:val="Heading5"/>
    <w:rsid w:val="00C312C6"/>
    <w:rPr>
      <w:rFonts w:ascii="Arial" w:eastAsia="Times New Roman" w:hAnsi="Arial" w:cs="Times New Roman"/>
      <w:color w:val="000000"/>
      <w:sz w:val="20"/>
      <w:szCs w:val="20"/>
      <w:u w:val="single"/>
    </w:rPr>
  </w:style>
  <w:style w:type="character" w:customStyle="1" w:styleId="Heading6Char">
    <w:name w:val="Heading 6 Char"/>
    <w:basedOn w:val="DefaultParagraphFont"/>
    <w:link w:val="Heading6"/>
    <w:rsid w:val="00C312C6"/>
    <w:rPr>
      <w:rFonts w:ascii="Arial" w:eastAsia="Times New Roman" w:hAnsi="Arial" w:cs="Times New Roman"/>
      <w:sz w:val="20"/>
      <w:szCs w:val="20"/>
      <w:u w:val="single"/>
      <w:lang w:eastAsia="en-GB"/>
    </w:rPr>
  </w:style>
  <w:style w:type="character" w:customStyle="1" w:styleId="Heading7Char">
    <w:name w:val="Heading 7 Char"/>
    <w:basedOn w:val="DefaultParagraphFont"/>
    <w:link w:val="Heading7"/>
    <w:rsid w:val="00C312C6"/>
    <w:rPr>
      <w:rFonts w:ascii="Arial" w:eastAsia="Times New Roman" w:hAnsi="Arial" w:cs="Times New Roman"/>
      <w:color w:val="0000FF"/>
      <w:sz w:val="20"/>
      <w:szCs w:val="20"/>
      <w:u w:val="single"/>
      <w:lang w:eastAsia="en-GB"/>
    </w:rPr>
  </w:style>
  <w:style w:type="character" w:customStyle="1" w:styleId="Heading8Char">
    <w:name w:val="Heading 8 Char"/>
    <w:basedOn w:val="DefaultParagraphFont"/>
    <w:link w:val="Heading8"/>
    <w:rsid w:val="00C312C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312C6"/>
    <w:rPr>
      <w:rFonts w:ascii="Arial" w:eastAsia="Times New Roman" w:hAnsi="Arial" w:cs="Arial"/>
    </w:rPr>
  </w:style>
  <w:style w:type="numbering" w:customStyle="1" w:styleId="NoList1">
    <w:name w:val="No List1"/>
    <w:next w:val="NoList"/>
    <w:uiPriority w:val="99"/>
    <w:semiHidden/>
    <w:unhideWhenUsed/>
    <w:rsid w:val="00C312C6"/>
  </w:style>
  <w:style w:type="paragraph" w:styleId="BodyText">
    <w:name w:val="Body Text"/>
    <w:basedOn w:val="Normal"/>
    <w:link w:val="BodyTextChar"/>
    <w:rsid w:val="00C312C6"/>
    <w:pPr>
      <w:spacing w:after="0"/>
    </w:pPr>
    <w:rPr>
      <w:rFonts w:ascii="Times New Roman" w:hAnsi="Times New Roman"/>
      <w:b/>
      <w:sz w:val="20"/>
      <w:lang w:eastAsia="en-GB"/>
    </w:rPr>
  </w:style>
  <w:style w:type="character" w:customStyle="1" w:styleId="BodyTextChar">
    <w:name w:val="Body Text Char"/>
    <w:basedOn w:val="DefaultParagraphFont"/>
    <w:link w:val="BodyText"/>
    <w:rsid w:val="00C312C6"/>
    <w:rPr>
      <w:rFonts w:ascii="Times New Roman" w:eastAsia="Times New Roman" w:hAnsi="Times New Roman" w:cs="Times New Roman"/>
      <w:b/>
      <w:sz w:val="20"/>
      <w:szCs w:val="20"/>
      <w:lang w:eastAsia="en-GB"/>
    </w:rPr>
  </w:style>
  <w:style w:type="paragraph" w:styleId="BodyText2">
    <w:name w:val="Body Text 2"/>
    <w:basedOn w:val="Normal"/>
    <w:link w:val="BodyText2Char"/>
    <w:rsid w:val="00C312C6"/>
    <w:pPr>
      <w:spacing w:after="0"/>
    </w:pPr>
    <w:rPr>
      <w:rFonts w:ascii="Times New Roman" w:hAnsi="Times New Roman"/>
      <w:i/>
      <w:sz w:val="20"/>
      <w:lang w:eastAsia="en-GB"/>
    </w:rPr>
  </w:style>
  <w:style w:type="character" w:customStyle="1" w:styleId="BodyText2Char">
    <w:name w:val="Body Text 2 Char"/>
    <w:basedOn w:val="DefaultParagraphFont"/>
    <w:link w:val="BodyText2"/>
    <w:rsid w:val="00C312C6"/>
    <w:rPr>
      <w:rFonts w:ascii="Times New Roman" w:eastAsia="Times New Roman" w:hAnsi="Times New Roman" w:cs="Times New Roman"/>
      <w:i/>
      <w:sz w:val="20"/>
      <w:szCs w:val="20"/>
      <w:lang w:eastAsia="en-GB"/>
    </w:rPr>
  </w:style>
  <w:style w:type="character" w:styleId="PageNumber">
    <w:name w:val="page number"/>
    <w:basedOn w:val="DefaultParagraphFont"/>
    <w:rsid w:val="00C312C6"/>
    <w:rPr>
      <w:rFonts w:cs="Times New Roman"/>
    </w:rPr>
  </w:style>
  <w:style w:type="paragraph" w:styleId="BodyText3">
    <w:name w:val="Body Text 3"/>
    <w:basedOn w:val="Normal"/>
    <w:link w:val="BodyText3Char"/>
    <w:rsid w:val="00C312C6"/>
    <w:pPr>
      <w:pBdr>
        <w:top w:val="single" w:sz="4" w:space="1" w:color="auto"/>
        <w:left w:val="single" w:sz="4" w:space="4" w:color="auto"/>
        <w:bottom w:val="single" w:sz="4" w:space="1" w:color="auto"/>
        <w:right w:val="single" w:sz="4" w:space="4" w:color="auto"/>
      </w:pBdr>
      <w:shd w:val="pct5" w:color="auto" w:fill="FFFFFF"/>
      <w:spacing w:after="0"/>
    </w:pPr>
    <w:rPr>
      <w:i/>
      <w:sz w:val="20"/>
      <w:lang w:eastAsia="en-GB"/>
    </w:rPr>
  </w:style>
  <w:style w:type="character" w:customStyle="1" w:styleId="BodyText3Char">
    <w:name w:val="Body Text 3 Char"/>
    <w:basedOn w:val="DefaultParagraphFont"/>
    <w:link w:val="BodyText3"/>
    <w:rsid w:val="00C312C6"/>
    <w:rPr>
      <w:rFonts w:ascii="Arial" w:eastAsia="Times New Roman" w:hAnsi="Arial" w:cs="Times New Roman"/>
      <w:i/>
      <w:sz w:val="20"/>
      <w:szCs w:val="20"/>
      <w:shd w:val="pct5" w:color="auto" w:fill="FFFFFF"/>
      <w:lang w:eastAsia="en-GB"/>
    </w:rPr>
  </w:style>
  <w:style w:type="paragraph" w:styleId="BodyTextIndent3">
    <w:name w:val="Body Text Indent 3"/>
    <w:basedOn w:val="Normal"/>
    <w:link w:val="BodyTextIndent3Char"/>
    <w:rsid w:val="00C312C6"/>
    <w:pPr>
      <w:tabs>
        <w:tab w:val="left" w:pos="720"/>
        <w:tab w:val="left" w:pos="1080"/>
      </w:tabs>
      <w:spacing w:after="0"/>
      <w:ind w:left="1080" w:firstLine="360"/>
      <w:jc w:val="both"/>
    </w:pPr>
    <w:rPr>
      <w:sz w:val="20"/>
      <w:lang w:eastAsia="en-GB"/>
    </w:rPr>
  </w:style>
  <w:style w:type="character" w:customStyle="1" w:styleId="BodyTextIndent3Char">
    <w:name w:val="Body Text Indent 3 Char"/>
    <w:basedOn w:val="DefaultParagraphFont"/>
    <w:link w:val="BodyTextIndent3"/>
    <w:rsid w:val="00C312C6"/>
    <w:rPr>
      <w:rFonts w:ascii="Arial" w:eastAsia="Times New Roman" w:hAnsi="Arial" w:cs="Times New Roman"/>
      <w:sz w:val="20"/>
      <w:szCs w:val="20"/>
      <w:lang w:eastAsia="en-GB"/>
    </w:rPr>
  </w:style>
  <w:style w:type="paragraph" w:styleId="Title">
    <w:name w:val="Title"/>
    <w:basedOn w:val="Normal"/>
    <w:link w:val="TitleChar"/>
    <w:qFormat/>
    <w:rsid w:val="00C312C6"/>
    <w:pPr>
      <w:spacing w:after="0"/>
      <w:jc w:val="center"/>
    </w:pPr>
    <w:rPr>
      <w:b/>
      <w:sz w:val="22"/>
      <w:lang w:eastAsia="en-GB"/>
    </w:rPr>
  </w:style>
  <w:style w:type="character" w:customStyle="1" w:styleId="TitleChar">
    <w:name w:val="Title Char"/>
    <w:basedOn w:val="DefaultParagraphFont"/>
    <w:link w:val="Title"/>
    <w:rsid w:val="00C312C6"/>
    <w:rPr>
      <w:rFonts w:ascii="Arial" w:eastAsia="Times New Roman" w:hAnsi="Arial" w:cs="Times New Roman"/>
      <w:b/>
      <w:szCs w:val="20"/>
      <w:lang w:eastAsia="en-GB"/>
    </w:rPr>
  </w:style>
  <w:style w:type="paragraph" w:styleId="BodyTextIndent">
    <w:name w:val="Body Text Indent"/>
    <w:basedOn w:val="Normal"/>
    <w:link w:val="BodyTextIndentChar"/>
    <w:rsid w:val="00C312C6"/>
    <w:pPr>
      <w:spacing w:after="0"/>
      <w:ind w:left="720" w:hanging="720"/>
    </w:pPr>
    <w:rPr>
      <w:rFonts w:ascii="Univers (W1)" w:hAnsi="Univers (W1)"/>
      <w:sz w:val="22"/>
      <w:lang w:eastAsia="en-GB"/>
    </w:rPr>
  </w:style>
  <w:style w:type="character" w:customStyle="1" w:styleId="BodyTextIndentChar">
    <w:name w:val="Body Text Indent Char"/>
    <w:basedOn w:val="DefaultParagraphFont"/>
    <w:link w:val="BodyTextIndent"/>
    <w:rsid w:val="00C312C6"/>
    <w:rPr>
      <w:rFonts w:ascii="Univers (W1)" w:eastAsia="Times New Roman" w:hAnsi="Univers (W1)" w:cs="Times New Roman"/>
      <w:szCs w:val="20"/>
      <w:lang w:eastAsia="en-GB"/>
    </w:rPr>
  </w:style>
  <w:style w:type="paragraph" w:styleId="BodyTextIndent2">
    <w:name w:val="Body Text Indent 2"/>
    <w:basedOn w:val="Normal"/>
    <w:link w:val="BodyTextIndent2Char"/>
    <w:rsid w:val="00C312C6"/>
    <w:pPr>
      <w:spacing w:after="0"/>
      <w:ind w:left="720" w:hanging="720"/>
      <w:jc w:val="both"/>
    </w:pPr>
    <w:rPr>
      <w:rFonts w:ascii="Univers (W1)" w:hAnsi="Univers (W1)"/>
      <w:sz w:val="22"/>
      <w:lang w:eastAsia="en-GB"/>
    </w:rPr>
  </w:style>
  <w:style w:type="character" w:customStyle="1" w:styleId="BodyTextIndent2Char">
    <w:name w:val="Body Text Indent 2 Char"/>
    <w:basedOn w:val="DefaultParagraphFont"/>
    <w:link w:val="BodyTextIndent2"/>
    <w:rsid w:val="00C312C6"/>
    <w:rPr>
      <w:rFonts w:ascii="Univers (W1)" w:eastAsia="Times New Roman" w:hAnsi="Univers (W1)" w:cs="Times New Roman"/>
      <w:szCs w:val="20"/>
      <w:lang w:eastAsia="en-GB"/>
    </w:rPr>
  </w:style>
  <w:style w:type="character" w:styleId="CommentReference">
    <w:name w:val="annotation reference"/>
    <w:basedOn w:val="DefaultParagraphFont"/>
    <w:semiHidden/>
    <w:rsid w:val="00C312C6"/>
    <w:rPr>
      <w:rFonts w:cs="Times New Roman"/>
      <w:sz w:val="16"/>
      <w:szCs w:val="16"/>
    </w:rPr>
  </w:style>
  <w:style w:type="paragraph" w:styleId="CommentText">
    <w:name w:val="annotation text"/>
    <w:basedOn w:val="Normal"/>
    <w:link w:val="CommentTextChar"/>
    <w:semiHidden/>
    <w:rsid w:val="00C312C6"/>
    <w:pPr>
      <w:spacing w:after="0"/>
    </w:pPr>
    <w:rPr>
      <w:rFonts w:ascii="Times New Roman" w:hAnsi="Times New Roman"/>
      <w:sz w:val="20"/>
      <w:lang w:eastAsia="en-GB"/>
    </w:rPr>
  </w:style>
  <w:style w:type="character" w:customStyle="1" w:styleId="CommentTextChar">
    <w:name w:val="Comment Text Char"/>
    <w:basedOn w:val="DefaultParagraphFont"/>
    <w:link w:val="CommentText"/>
    <w:semiHidden/>
    <w:rsid w:val="00C312C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C312C6"/>
    <w:rPr>
      <w:b/>
      <w:bCs/>
    </w:rPr>
  </w:style>
  <w:style w:type="character" w:customStyle="1" w:styleId="CommentSubjectChar">
    <w:name w:val="Comment Subject Char"/>
    <w:basedOn w:val="CommentTextChar"/>
    <w:link w:val="CommentSubject"/>
    <w:semiHidden/>
    <w:rsid w:val="00C312C6"/>
    <w:rPr>
      <w:rFonts w:ascii="Times New Roman" w:eastAsia="Times New Roman" w:hAnsi="Times New Roman" w:cs="Times New Roman"/>
      <w:b/>
      <w:bCs/>
      <w:sz w:val="20"/>
      <w:szCs w:val="20"/>
      <w:lang w:eastAsia="en-GB"/>
    </w:rPr>
  </w:style>
  <w:style w:type="character" w:styleId="Strong">
    <w:name w:val="Strong"/>
    <w:basedOn w:val="DefaultParagraphFont"/>
    <w:qFormat/>
    <w:rsid w:val="00C312C6"/>
    <w:rPr>
      <w:rFonts w:cs="Times New Roman"/>
      <w:b/>
      <w:bCs/>
    </w:rPr>
  </w:style>
  <w:style w:type="paragraph" w:customStyle="1" w:styleId="BulletedBodyText">
    <w:name w:val="Bulleted Body Text"/>
    <w:basedOn w:val="BodyText"/>
    <w:rsid w:val="00C312C6"/>
    <w:pPr>
      <w:keepLines/>
      <w:numPr>
        <w:numId w:val="7"/>
      </w:numPr>
      <w:spacing w:before="20" w:after="120" w:line="360" w:lineRule="auto"/>
      <w:jc w:val="both"/>
    </w:pPr>
    <w:rPr>
      <w:rFonts w:ascii="Arial" w:hAnsi="Arial"/>
      <w:b w:val="0"/>
      <w:sz w:val="18"/>
      <w:szCs w:val="24"/>
      <w:lang w:eastAsia="en-US"/>
    </w:rPr>
  </w:style>
  <w:style w:type="paragraph" w:customStyle="1" w:styleId="UnnumberedHeading1">
    <w:name w:val="Unnumbered Heading 1"/>
    <w:basedOn w:val="Normal"/>
    <w:next w:val="BodyText"/>
    <w:rsid w:val="00C312C6"/>
    <w:pPr>
      <w:keepNext/>
      <w:spacing w:before="240"/>
      <w:outlineLvl w:val="0"/>
    </w:pPr>
    <w:rPr>
      <w:color w:val="00247D"/>
      <w:sz w:val="40"/>
      <w:szCs w:val="24"/>
    </w:rPr>
  </w:style>
  <w:style w:type="paragraph" w:customStyle="1" w:styleId="UnnumberedHeading2">
    <w:name w:val="Unnumbered Heading 2"/>
    <w:basedOn w:val="Normal"/>
    <w:next w:val="Heading2"/>
    <w:rsid w:val="00C312C6"/>
    <w:pPr>
      <w:keepNext/>
      <w:spacing w:before="120" w:after="120"/>
      <w:ind w:left="573" w:hanging="573"/>
      <w:outlineLvl w:val="1"/>
    </w:pPr>
    <w:rPr>
      <w:color w:val="000080"/>
      <w:sz w:val="24"/>
      <w:szCs w:val="24"/>
    </w:rPr>
  </w:style>
  <w:style w:type="paragraph" w:customStyle="1" w:styleId="UnnumberedHeading3">
    <w:name w:val="Unnumbered Heading 3"/>
    <w:basedOn w:val="Normal"/>
    <w:next w:val="BodyText"/>
    <w:rsid w:val="00C312C6"/>
    <w:pPr>
      <w:keepNext/>
      <w:spacing w:before="120" w:after="120"/>
      <w:ind w:left="567" w:hanging="567"/>
      <w:outlineLvl w:val="2"/>
    </w:pPr>
    <w:rPr>
      <w:color w:val="000080"/>
      <w:sz w:val="20"/>
      <w:szCs w:val="24"/>
    </w:rPr>
  </w:style>
  <w:style w:type="paragraph" w:customStyle="1" w:styleId="FooterAddress">
    <w:name w:val="Footer Address"/>
    <w:basedOn w:val="Footer"/>
    <w:rsid w:val="00C312C6"/>
    <w:pPr>
      <w:tabs>
        <w:tab w:val="clear" w:pos="4513"/>
        <w:tab w:val="clear" w:pos="9026"/>
        <w:tab w:val="center" w:pos="4153"/>
        <w:tab w:val="right" w:pos="8306"/>
      </w:tabs>
    </w:pPr>
    <w:rPr>
      <w:sz w:val="14"/>
      <w:szCs w:val="24"/>
    </w:rPr>
  </w:style>
  <w:style w:type="paragraph" w:customStyle="1" w:styleId="CoverClientName">
    <w:name w:val="Cover Client Name"/>
    <w:basedOn w:val="Normal"/>
    <w:rsid w:val="00C312C6"/>
    <w:pPr>
      <w:widowControl w:val="0"/>
      <w:spacing w:after="0"/>
    </w:pPr>
    <w:rPr>
      <w:b/>
      <w:bCs/>
      <w:color w:val="00247D"/>
      <w:sz w:val="28"/>
    </w:rPr>
  </w:style>
  <w:style w:type="paragraph" w:customStyle="1" w:styleId="Address">
    <w:name w:val="Address"/>
    <w:basedOn w:val="Heading4"/>
    <w:rsid w:val="00C312C6"/>
    <w:pPr>
      <w:spacing w:after="120"/>
    </w:pPr>
    <w:rPr>
      <w:bCs/>
      <w:color w:val="808080"/>
      <w:sz w:val="22"/>
      <w:szCs w:val="24"/>
    </w:rPr>
  </w:style>
  <w:style w:type="table" w:customStyle="1" w:styleId="TableGrid1">
    <w:name w:val="Table Grid1"/>
    <w:basedOn w:val="TableNormal"/>
    <w:next w:val="TableGrid"/>
    <w:rsid w:val="00C312C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C312C6"/>
    <w:pPr>
      <w:tabs>
        <w:tab w:val="left" w:pos="1425"/>
      </w:tabs>
      <w:spacing w:after="0"/>
      <w:ind w:right="53"/>
      <w:jc w:val="both"/>
    </w:pPr>
    <w:rPr>
      <w:rFonts w:eastAsia="SimSun"/>
      <w:color w:val="FF6600"/>
      <w:sz w:val="22"/>
      <w:szCs w:val="16"/>
      <w:lang w:eastAsia="zh-CN"/>
    </w:rPr>
  </w:style>
  <w:style w:type="paragraph" w:styleId="FootnoteText">
    <w:name w:val="footnote text"/>
    <w:basedOn w:val="Normal"/>
    <w:link w:val="FootnoteTextChar"/>
    <w:semiHidden/>
    <w:rsid w:val="00C312C6"/>
    <w:pPr>
      <w:spacing w:after="0"/>
    </w:pPr>
    <w:rPr>
      <w:rFonts w:ascii="Times New Roman" w:hAnsi="Times New Roman"/>
      <w:sz w:val="20"/>
      <w:lang w:eastAsia="en-GB"/>
    </w:rPr>
  </w:style>
  <w:style w:type="character" w:customStyle="1" w:styleId="FootnoteTextChar">
    <w:name w:val="Footnote Text Char"/>
    <w:basedOn w:val="DefaultParagraphFont"/>
    <w:link w:val="FootnoteText"/>
    <w:semiHidden/>
    <w:rsid w:val="00C312C6"/>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C312C6"/>
    <w:rPr>
      <w:rFonts w:cs="Times New Roman"/>
      <w:vertAlign w:val="superscript"/>
    </w:rPr>
  </w:style>
  <w:style w:type="paragraph" w:styleId="PlainText">
    <w:name w:val="Plain Text"/>
    <w:basedOn w:val="Normal"/>
    <w:link w:val="PlainTextChar"/>
    <w:rsid w:val="00C312C6"/>
    <w:pPr>
      <w:spacing w:after="0"/>
    </w:pPr>
    <w:rPr>
      <w:rFonts w:ascii="Courier New" w:hAnsi="Courier New"/>
      <w:sz w:val="20"/>
      <w:lang w:eastAsia="en-GB"/>
    </w:rPr>
  </w:style>
  <w:style w:type="character" w:customStyle="1" w:styleId="PlainTextChar">
    <w:name w:val="Plain Text Char"/>
    <w:basedOn w:val="DefaultParagraphFont"/>
    <w:link w:val="PlainText"/>
    <w:rsid w:val="00C312C6"/>
    <w:rPr>
      <w:rFonts w:ascii="Courier New" w:eastAsia="Times New Roman" w:hAnsi="Courier New" w:cs="Times New Roman"/>
      <w:sz w:val="20"/>
      <w:szCs w:val="20"/>
      <w:lang w:eastAsia="en-GB"/>
    </w:rPr>
  </w:style>
  <w:style w:type="paragraph" w:customStyle="1" w:styleId="CharCharCharChar">
    <w:name w:val="Char Char Char Char"/>
    <w:basedOn w:val="Normal"/>
    <w:rsid w:val="00C312C6"/>
    <w:pPr>
      <w:tabs>
        <w:tab w:val="left" w:pos="1425"/>
      </w:tabs>
      <w:spacing w:after="0"/>
      <w:ind w:right="53"/>
      <w:jc w:val="both"/>
    </w:pPr>
    <w:rPr>
      <w:rFonts w:eastAsia="SimSun"/>
      <w:color w:val="FF6600"/>
      <w:sz w:val="22"/>
      <w:szCs w:val="16"/>
      <w:lang w:eastAsia="zh-CN"/>
    </w:rPr>
  </w:style>
  <w:style w:type="paragraph" w:styleId="DocumentMap">
    <w:name w:val="Document Map"/>
    <w:basedOn w:val="Normal"/>
    <w:link w:val="DocumentMapChar"/>
    <w:semiHidden/>
    <w:rsid w:val="00C312C6"/>
    <w:pPr>
      <w:shd w:val="clear" w:color="auto" w:fill="000080"/>
      <w:spacing w:after="0"/>
    </w:pPr>
    <w:rPr>
      <w:rFonts w:ascii="Tahoma" w:hAnsi="Tahoma" w:cs="Tahoma"/>
      <w:sz w:val="20"/>
      <w:lang w:eastAsia="en-GB"/>
    </w:rPr>
  </w:style>
  <w:style w:type="character" w:customStyle="1" w:styleId="DocumentMapChar">
    <w:name w:val="Document Map Char"/>
    <w:basedOn w:val="DefaultParagraphFont"/>
    <w:link w:val="DocumentMap"/>
    <w:semiHidden/>
    <w:rsid w:val="00C312C6"/>
    <w:rPr>
      <w:rFonts w:ascii="Tahoma" w:eastAsia="Times New Roman" w:hAnsi="Tahoma" w:cs="Tahoma"/>
      <w:sz w:val="20"/>
      <w:szCs w:val="20"/>
      <w:shd w:val="clear" w:color="auto" w:fill="000080"/>
      <w:lang w:eastAsia="en-GB"/>
    </w:rPr>
  </w:style>
  <w:style w:type="paragraph" w:customStyle="1" w:styleId="Default">
    <w:name w:val="Default"/>
    <w:rsid w:val="00C312C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rsid w:val="00C312C6"/>
    <w:rPr>
      <w:color w:val="606420"/>
      <w:u w:val="single"/>
    </w:rPr>
  </w:style>
  <w:style w:type="character" w:styleId="PlaceholderText">
    <w:name w:val="Placeholder Text"/>
    <w:basedOn w:val="DefaultParagraphFont"/>
    <w:uiPriority w:val="99"/>
    <w:semiHidden/>
    <w:rsid w:val="00C312C6"/>
    <w:rPr>
      <w:color w:val="808080"/>
    </w:rPr>
  </w:style>
  <w:style w:type="character" w:styleId="Emphasis">
    <w:name w:val="Emphasis"/>
    <w:basedOn w:val="DefaultParagraphFont"/>
    <w:uiPriority w:val="20"/>
    <w:qFormat/>
    <w:rsid w:val="00C312C6"/>
    <w:rPr>
      <w:b/>
      <w:bCs/>
      <w:i w:val="0"/>
      <w:iCs w:val="0"/>
    </w:rPr>
  </w:style>
  <w:style w:type="character" w:customStyle="1" w:styleId="st">
    <w:name w:val="st"/>
    <w:basedOn w:val="DefaultParagraphFont"/>
    <w:rsid w:val="00C312C6"/>
  </w:style>
  <w:style w:type="character" w:customStyle="1" w:styleId="tgc">
    <w:name w:val="_tgc"/>
    <w:basedOn w:val="DefaultParagraphFont"/>
    <w:rsid w:val="00C312C6"/>
  </w:style>
  <w:style w:type="paragraph" w:styleId="NoSpacing">
    <w:name w:val="No Spacing"/>
    <w:link w:val="NoSpacingChar"/>
    <w:uiPriority w:val="1"/>
    <w:qFormat/>
    <w:rsid w:val="00C312C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312C6"/>
    <w:rPr>
      <w:rFonts w:eastAsiaTheme="minorEastAsia"/>
      <w:lang w:val="en-US" w:eastAsia="ja-JP"/>
    </w:rPr>
  </w:style>
  <w:style w:type="paragraph" w:styleId="ListBullet">
    <w:name w:val="List Bullet"/>
    <w:basedOn w:val="Normal"/>
    <w:uiPriority w:val="99"/>
    <w:unhideWhenUsed/>
    <w:rsid w:val="00C312C6"/>
    <w:pPr>
      <w:numPr>
        <w:numId w:val="10"/>
      </w:numPr>
      <w:spacing w:after="160" w:line="256" w:lineRule="auto"/>
      <w:contextualSpacing/>
    </w:pPr>
    <w:rPr>
      <w:rFonts w:asciiTheme="minorHAnsi" w:eastAsiaTheme="minorHAnsi" w:hAnsiTheme="minorHAnsi" w:cstheme="minorBidi"/>
      <w:sz w:val="22"/>
      <w:szCs w:val="22"/>
    </w:rPr>
  </w:style>
  <w:style w:type="character" w:customStyle="1" w:styleId="04-Normalcharacter">
    <w:name w:val="04-Normal character"/>
    <w:uiPriority w:val="1"/>
    <w:qFormat/>
    <w:rsid w:val="00C312C6"/>
  </w:style>
  <w:style w:type="paragraph" w:customStyle="1" w:styleId="BodyTexthanging">
    <w:name w:val="Body Text hanging"/>
    <w:basedOn w:val="BodyText"/>
    <w:rsid w:val="00C312C6"/>
    <w:pPr>
      <w:keepLines/>
      <w:spacing w:before="140" w:after="120"/>
      <w:ind w:left="720" w:hanging="720"/>
    </w:pPr>
    <w:rPr>
      <w:rFonts w:ascii="CG Times" w:hAnsi="CG Times"/>
      <w:b w:val="0"/>
      <w:sz w:val="22"/>
      <w:lang w:eastAsia="en-US"/>
    </w:rPr>
  </w:style>
  <w:style w:type="paragraph" w:styleId="EndnoteText">
    <w:name w:val="endnote text"/>
    <w:basedOn w:val="Normal"/>
    <w:link w:val="EndnoteTextChar"/>
    <w:rsid w:val="00C312C6"/>
    <w:pPr>
      <w:spacing w:after="0"/>
    </w:pPr>
    <w:rPr>
      <w:rFonts w:ascii="Times New Roman" w:hAnsi="Times New Roman"/>
      <w:sz w:val="20"/>
      <w:lang w:eastAsia="en-GB"/>
    </w:rPr>
  </w:style>
  <w:style w:type="character" w:customStyle="1" w:styleId="EndnoteTextChar">
    <w:name w:val="Endnote Text Char"/>
    <w:basedOn w:val="DefaultParagraphFont"/>
    <w:link w:val="EndnoteText"/>
    <w:rsid w:val="00C312C6"/>
    <w:rPr>
      <w:rFonts w:ascii="Times New Roman" w:eastAsia="Times New Roman" w:hAnsi="Times New Roman" w:cs="Times New Roman"/>
      <w:sz w:val="20"/>
      <w:szCs w:val="20"/>
      <w:lang w:eastAsia="en-GB"/>
    </w:rPr>
  </w:style>
  <w:style w:type="character" w:styleId="EndnoteReference">
    <w:name w:val="endnote reference"/>
    <w:basedOn w:val="DefaultParagraphFont"/>
    <w:rsid w:val="00C312C6"/>
    <w:rPr>
      <w:vertAlign w:val="superscript"/>
    </w:rPr>
  </w:style>
  <w:style w:type="paragraph" w:customStyle="1" w:styleId="09-Bodytext">
    <w:name w:val="09-Body text"/>
    <w:basedOn w:val="Normal"/>
    <w:qFormat/>
    <w:rsid w:val="00C312C6"/>
    <w:pPr>
      <w:spacing w:after="0"/>
    </w:pPr>
    <w:rPr>
      <w:rFonts w:eastAsiaTheme="minorHAnsi" w:cs="Arial"/>
      <w:sz w:val="22"/>
      <w:szCs w:val="22"/>
    </w:rPr>
  </w:style>
  <w:style w:type="paragraph" w:customStyle="1" w:styleId="22-Tablebullet">
    <w:name w:val="22-Table bullet"/>
    <w:basedOn w:val="Normal"/>
    <w:qFormat/>
    <w:rsid w:val="00C312C6"/>
    <w:pPr>
      <w:numPr>
        <w:numId w:val="11"/>
      </w:numPr>
      <w:spacing w:before="60" w:after="60" w:line="320" w:lineRule="atLeast"/>
      <w:ind w:right="28"/>
    </w:pPr>
    <w:rPr>
      <w:rFonts w:eastAsiaTheme="minorHAnsi" w:cs="Arial"/>
      <w:sz w:val="22"/>
      <w:szCs w:val="22"/>
    </w:rPr>
  </w:style>
  <w:style w:type="paragraph" w:customStyle="1" w:styleId="ASNormal">
    <w:name w:val="ASNormal"/>
    <w:basedOn w:val="Normal"/>
    <w:rsid w:val="00C312C6"/>
    <w:pPr>
      <w:spacing w:after="0"/>
    </w:pPr>
    <w:rPr>
      <w:rFonts w:eastAsiaTheme="minorHAnsi" w:cs="Arial"/>
      <w:spacing w:val="-6"/>
      <w:sz w:val="22"/>
      <w:szCs w:val="22"/>
    </w:rPr>
  </w:style>
  <w:style w:type="paragraph" w:customStyle="1" w:styleId="17-Subhead3">
    <w:name w:val="17-Subhead 3"/>
    <w:basedOn w:val="Normal"/>
    <w:qFormat/>
    <w:rsid w:val="00C312C6"/>
    <w:pPr>
      <w:keepNext/>
      <w:spacing w:before="280" w:after="140"/>
    </w:pPr>
    <w:rPr>
      <w:rFonts w:eastAsiaTheme="minorHAnsi" w:cs="Arial"/>
      <w:b/>
      <w:bCs/>
      <w:color w:val="000000"/>
      <w:sz w:val="22"/>
      <w:szCs w:val="22"/>
    </w:rPr>
  </w:style>
  <w:style w:type="character" w:customStyle="1" w:styleId="01-Bold">
    <w:name w:val="01-Bold"/>
    <w:basedOn w:val="DefaultParagraphFont"/>
    <w:uiPriority w:val="1"/>
    <w:qFormat/>
    <w:rsid w:val="00C312C6"/>
    <w:rPr>
      <w:b/>
      <w:bCs/>
    </w:rPr>
  </w:style>
  <w:style w:type="table" w:customStyle="1" w:styleId="TableGrid11">
    <w:name w:val="Table Grid11"/>
    <w:basedOn w:val="TableNormal"/>
    <w:next w:val="TableGrid"/>
    <w:uiPriority w:val="59"/>
    <w:rsid w:val="00C312C6"/>
    <w:pPr>
      <w:spacing w:after="0" w:line="240" w:lineRule="auto"/>
    </w:pPr>
    <w:rPr>
      <w:rFonts w:ascii="Arial" w:eastAsia="Arial" w:hAnsi="Arial" w:cs="Times New Roman"/>
      <w:sz w:val="20"/>
      <w:szCs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wFrontPageScheme">
    <w:name w:val="bwFrontPageScheme"/>
    <w:basedOn w:val="Normal"/>
    <w:uiPriority w:val="4"/>
    <w:rsid w:val="00C312C6"/>
    <w:pPr>
      <w:spacing w:after="0"/>
      <w:jc w:val="right"/>
    </w:pPr>
    <w:rPr>
      <w:rFonts w:ascii="Arial Bold" w:eastAsia="Arial" w:hAnsi="Arial Bold"/>
      <w:color w:val="FFFFFF"/>
      <w:sz w:val="64"/>
      <w:lang w:bidi="en-US"/>
    </w:rPr>
  </w:style>
  <w:style w:type="paragraph" w:customStyle="1" w:styleId="bwFrontPageJob">
    <w:name w:val="bwFrontPageJob"/>
    <w:basedOn w:val="Normal"/>
    <w:uiPriority w:val="4"/>
    <w:rsid w:val="00C312C6"/>
    <w:pPr>
      <w:spacing w:after="0"/>
      <w:jc w:val="right"/>
    </w:pPr>
    <w:rPr>
      <w:rFonts w:eastAsia="Arial"/>
      <w:color w:val="FFFFFF"/>
      <w:sz w:val="36"/>
      <w:lang w:bidi="en-US"/>
    </w:rPr>
  </w:style>
  <w:style w:type="paragraph" w:customStyle="1" w:styleId="bwFrontPageDetails">
    <w:name w:val="bwFrontPageDetails"/>
    <w:basedOn w:val="Normal"/>
    <w:uiPriority w:val="4"/>
    <w:rsid w:val="00C312C6"/>
    <w:pPr>
      <w:spacing w:before="60" w:after="0"/>
      <w:jc w:val="right"/>
    </w:pPr>
    <w:rPr>
      <w:rFonts w:eastAsia="Arial"/>
      <w:color w:val="FFFFFF"/>
      <w:sz w:val="28"/>
      <w:lang w:bidi="en-US"/>
    </w:rPr>
  </w:style>
  <w:style w:type="paragraph" w:customStyle="1" w:styleId="bwFrontPageDate">
    <w:name w:val="bwFrontPageDate"/>
    <w:basedOn w:val="Normal"/>
    <w:uiPriority w:val="4"/>
    <w:rsid w:val="00C312C6"/>
    <w:pPr>
      <w:spacing w:before="240" w:after="0"/>
      <w:jc w:val="right"/>
    </w:pPr>
    <w:rPr>
      <w:rFonts w:eastAsia="Arial"/>
      <w:color w:val="FFFFFF"/>
      <w:sz w:val="20"/>
      <w:lang w:bidi="en-US"/>
    </w:rPr>
  </w:style>
  <w:style w:type="paragraph" w:customStyle="1" w:styleId="bwFooterLeft">
    <w:name w:val="bwFooterLeft"/>
    <w:basedOn w:val="bwFooterRight"/>
    <w:rsid w:val="00C312C6"/>
    <w:pPr>
      <w:jc w:val="left"/>
    </w:pPr>
  </w:style>
  <w:style w:type="paragraph" w:customStyle="1" w:styleId="bwFooterRight">
    <w:name w:val="bwFooterRight"/>
    <w:basedOn w:val="Normal"/>
    <w:rsid w:val="00C312C6"/>
    <w:pPr>
      <w:spacing w:after="0"/>
      <w:jc w:val="right"/>
    </w:pPr>
    <w:rPr>
      <w:rFonts w:eastAsia="Arial"/>
      <w:color w:val="00446A"/>
      <w:sz w:val="13"/>
      <w:szCs w:val="22"/>
      <w:lang w:bidi="en-US"/>
    </w:rPr>
  </w:style>
  <w:style w:type="paragraph" w:customStyle="1" w:styleId="BodyAppendix">
    <w:name w:val="Body Appendix"/>
    <w:basedOn w:val="BodyText"/>
    <w:qFormat/>
    <w:rsid w:val="00C312C6"/>
    <w:pPr>
      <w:keepLines/>
      <w:numPr>
        <w:ilvl w:val="1"/>
        <w:numId w:val="12"/>
      </w:numPr>
      <w:tabs>
        <w:tab w:val="num" w:pos="864"/>
      </w:tabs>
      <w:spacing w:after="120" w:line="360" w:lineRule="auto"/>
      <w:ind w:left="864" w:hanging="576"/>
      <w:jc w:val="both"/>
      <w:outlineLvl w:val="1"/>
    </w:pPr>
    <w:rPr>
      <w:rFonts w:ascii="Arial" w:eastAsia="Arial" w:hAnsi="Arial"/>
      <w:b w:val="0"/>
      <w:lang w:eastAsia="en-US" w:bidi="en-US"/>
    </w:rPr>
  </w:style>
  <w:style w:type="paragraph" w:customStyle="1" w:styleId="11-Bullet1">
    <w:name w:val="11-Bullet 1"/>
    <w:basedOn w:val="09-Bodytext"/>
    <w:qFormat/>
    <w:rsid w:val="00C312C6"/>
    <w:pPr>
      <w:numPr>
        <w:numId w:val="13"/>
      </w:numPr>
      <w:tabs>
        <w:tab w:val="left" w:pos="907"/>
      </w:tabs>
      <w:ind w:left="454" w:hanging="454"/>
    </w:pPr>
    <w:rPr>
      <w:rFonts w:eastAsia="Times New Roman" w:cs="Times New Roman"/>
    </w:rPr>
  </w:style>
  <w:style w:type="paragraph" w:customStyle="1" w:styleId="21-Tabletext">
    <w:name w:val="21-Table text"/>
    <w:basedOn w:val="Normal"/>
    <w:qFormat/>
    <w:rsid w:val="00C312C6"/>
    <w:pPr>
      <w:spacing w:before="60" w:after="60" w:line="320" w:lineRule="atLeast"/>
      <w:ind w:left="28" w:right="28"/>
    </w:pPr>
    <w:rPr>
      <w:sz w:val="22"/>
      <w:szCs w:val="22"/>
    </w:rPr>
  </w:style>
  <w:style w:type="paragraph" w:customStyle="1" w:styleId="15-Subhead1">
    <w:name w:val="15-Subhead 1"/>
    <w:basedOn w:val="09-Bodytext"/>
    <w:next w:val="Normal"/>
    <w:qFormat/>
    <w:rsid w:val="00C312C6"/>
    <w:pPr>
      <w:keepNext/>
      <w:spacing w:before="280" w:after="140" w:line="360" w:lineRule="exact"/>
      <w:outlineLvl w:val="1"/>
    </w:pPr>
    <w:rPr>
      <w:rFonts w:eastAsia="Times New Roman" w:cs="Times New Roman"/>
      <w:b/>
      <w:color w:val="00607A"/>
      <w:sz w:val="30"/>
    </w:rPr>
  </w:style>
  <w:style w:type="paragraph" w:customStyle="1" w:styleId="16-Subhead2">
    <w:name w:val="16-Subhead 2"/>
    <w:basedOn w:val="15-Subhead1"/>
    <w:next w:val="Normal"/>
    <w:qFormat/>
    <w:rsid w:val="00C312C6"/>
    <w:pPr>
      <w:keepLines/>
      <w:spacing w:line="240" w:lineRule="auto"/>
      <w:outlineLvl w:val="2"/>
    </w:pPr>
    <w:rPr>
      <w:color w:val="7F7F7F" w:themeColor="text1" w:themeTint="8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9A"/>
    <w:pPr>
      <w:spacing w:after="240" w:line="240" w:lineRule="auto"/>
    </w:pPr>
    <w:rPr>
      <w:rFonts w:ascii="Arial" w:eastAsia="Times New Roman" w:hAnsi="Arial" w:cs="Times New Roman"/>
      <w:sz w:val="23"/>
      <w:szCs w:val="20"/>
    </w:rPr>
  </w:style>
  <w:style w:type="paragraph" w:styleId="Heading1">
    <w:name w:val="heading 1"/>
    <w:basedOn w:val="Normal"/>
    <w:next w:val="Normal"/>
    <w:link w:val="Heading1Char"/>
    <w:qFormat/>
    <w:rsid w:val="00C312C6"/>
    <w:pPr>
      <w:keepNext/>
      <w:spacing w:after="0"/>
      <w:outlineLvl w:val="0"/>
    </w:pPr>
    <w:rPr>
      <w:rFonts w:ascii="Times New Roman" w:hAnsi="Times New Roman"/>
      <w:i/>
      <w:sz w:val="20"/>
      <w:lang w:eastAsia="en-GB"/>
    </w:rPr>
  </w:style>
  <w:style w:type="paragraph" w:styleId="Heading2">
    <w:name w:val="heading 2"/>
    <w:basedOn w:val="Normal"/>
    <w:next w:val="Normal"/>
    <w:link w:val="Heading2Char"/>
    <w:unhideWhenUsed/>
    <w:qFormat/>
    <w:rsid w:val="00C22506"/>
    <w:pPr>
      <w:keepNext/>
      <w:keepLines/>
      <w:spacing w:after="0"/>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C312C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312C6"/>
    <w:pPr>
      <w:keepNext/>
      <w:spacing w:after="0"/>
      <w:outlineLvl w:val="3"/>
    </w:pPr>
    <w:rPr>
      <w:b/>
      <w:color w:val="000000"/>
      <w:sz w:val="20"/>
    </w:rPr>
  </w:style>
  <w:style w:type="paragraph" w:styleId="Heading5">
    <w:name w:val="heading 5"/>
    <w:basedOn w:val="Normal"/>
    <w:next w:val="Normal"/>
    <w:link w:val="Heading5Char"/>
    <w:qFormat/>
    <w:rsid w:val="00C312C6"/>
    <w:pPr>
      <w:keepNext/>
      <w:spacing w:after="0"/>
      <w:outlineLvl w:val="4"/>
    </w:pPr>
    <w:rPr>
      <w:color w:val="000000"/>
      <w:sz w:val="20"/>
      <w:u w:val="single"/>
    </w:rPr>
  </w:style>
  <w:style w:type="paragraph" w:styleId="Heading6">
    <w:name w:val="heading 6"/>
    <w:basedOn w:val="Normal"/>
    <w:next w:val="Normal"/>
    <w:link w:val="Heading6Char"/>
    <w:qFormat/>
    <w:rsid w:val="00C312C6"/>
    <w:pPr>
      <w:keepNext/>
      <w:spacing w:after="0"/>
      <w:outlineLvl w:val="5"/>
    </w:pPr>
    <w:rPr>
      <w:sz w:val="20"/>
      <w:u w:val="single"/>
      <w:lang w:eastAsia="en-GB"/>
    </w:rPr>
  </w:style>
  <w:style w:type="paragraph" w:styleId="Heading7">
    <w:name w:val="heading 7"/>
    <w:basedOn w:val="Normal"/>
    <w:next w:val="Normal"/>
    <w:link w:val="Heading7Char"/>
    <w:qFormat/>
    <w:rsid w:val="00C312C6"/>
    <w:pPr>
      <w:keepNext/>
      <w:spacing w:after="0"/>
      <w:ind w:left="-284"/>
      <w:outlineLvl w:val="6"/>
    </w:pPr>
    <w:rPr>
      <w:color w:val="0000FF"/>
      <w:sz w:val="20"/>
      <w:u w:val="single"/>
      <w:lang w:eastAsia="en-GB"/>
    </w:rPr>
  </w:style>
  <w:style w:type="paragraph" w:styleId="Heading8">
    <w:name w:val="heading 8"/>
    <w:basedOn w:val="Normal"/>
    <w:next w:val="Normal"/>
    <w:link w:val="Heading8Char"/>
    <w:qFormat/>
    <w:rsid w:val="00C312C6"/>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C312C6"/>
    <w:pPr>
      <w:tabs>
        <w:tab w:val="num" w:pos="1584"/>
      </w:tabs>
      <w:spacing w:before="240" w:after="60"/>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2506"/>
    <w:rPr>
      <w:rFonts w:ascii="Arial" w:eastAsiaTheme="majorEastAsia" w:hAnsi="Arial" w:cstheme="majorBidi"/>
      <w:b/>
      <w:bCs/>
      <w:sz w:val="28"/>
      <w:szCs w:val="26"/>
    </w:rPr>
  </w:style>
  <w:style w:type="table" w:styleId="TableGrid">
    <w:name w:val="Table Grid"/>
    <w:basedOn w:val="TableNormal"/>
    <w:uiPriority w:val="59"/>
    <w:rsid w:val="00266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91E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E43"/>
    <w:rPr>
      <w:rFonts w:ascii="Tahoma" w:eastAsia="Times New Roman" w:hAnsi="Tahoma" w:cs="Tahoma"/>
      <w:sz w:val="16"/>
      <w:szCs w:val="16"/>
    </w:rPr>
  </w:style>
  <w:style w:type="paragraph" w:styleId="Header">
    <w:name w:val="header"/>
    <w:basedOn w:val="Normal"/>
    <w:link w:val="HeaderChar"/>
    <w:unhideWhenUsed/>
    <w:rsid w:val="009A675B"/>
    <w:pPr>
      <w:tabs>
        <w:tab w:val="center" w:pos="4513"/>
        <w:tab w:val="right" w:pos="9026"/>
      </w:tabs>
      <w:spacing w:after="0"/>
    </w:pPr>
  </w:style>
  <w:style w:type="character" w:customStyle="1" w:styleId="HeaderChar">
    <w:name w:val="Header Char"/>
    <w:basedOn w:val="DefaultParagraphFont"/>
    <w:link w:val="Header"/>
    <w:uiPriority w:val="99"/>
    <w:rsid w:val="009A675B"/>
    <w:rPr>
      <w:rFonts w:ascii="Arial" w:eastAsia="Times New Roman" w:hAnsi="Arial" w:cs="Times New Roman"/>
      <w:sz w:val="23"/>
      <w:szCs w:val="20"/>
    </w:rPr>
  </w:style>
  <w:style w:type="paragraph" w:styleId="Footer">
    <w:name w:val="footer"/>
    <w:basedOn w:val="Normal"/>
    <w:link w:val="FooterChar"/>
    <w:uiPriority w:val="99"/>
    <w:unhideWhenUsed/>
    <w:rsid w:val="009A675B"/>
    <w:pPr>
      <w:tabs>
        <w:tab w:val="center" w:pos="4513"/>
        <w:tab w:val="right" w:pos="9026"/>
      </w:tabs>
      <w:spacing w:after="0"/>
    </w:pPr>
  </w:style>
  <w:style w:type="character" w:customStyle="1" w:styleId="FooterChar">
    <w:name w:val="Footer Char"/>
    <w:basedOn w:val="DefaultParagraphFont"/>
    <w:link w:val="Footer"/>
    <w:uiPriority w:val="99"/>
    <w:rsid w:val="009A675B"/>
    <w:rPr>
      <w:rFonts w:ascii="Arial" w:eastAsia="Times New Roman" w:hAnsi="Arial" w:cs="Times New Roman"/>
      <w:sz w:val="23"/>
      <w:szCs w:val="20"/>
    </w:rPr>
  </w:style>
  <w:style w:type="character" w:styleId="Hyperlink">
    <w:name w:val="Hyperlink"/>
    <w:unhideWhenUsed/>
    <w:rsid w:val="00513272"/>
    <w:rPr>
      <w:color w:val="0563C1"/>
      <w:u w:val="single"/>
    </w:rPr>
  </w:style>
  <w:style w:type="paragraph" w:styleId="ListParagraph">
    <w:name w:val="List Paragraph"/>
    <w:basedOn w:val="Normal"/>
    <w:uiPriority w:val="34"/>
    <w:qFormat/>
    <w:rsid w:val="00513272"/>
    <w:pPr>
      <w:ind w:left="720"/>
      <w:contextualSpacing/>
    </w:pPr>
  </w:style>
  <w:style w:type="paragraph" w:styleId="ListNumber">
    <w:name w:val="List Number"/>
    <w:basedOn w:val="Normal"/>
    <w:autoRedefine/>
    <w:uiPriority w:val="99"/>
    <w:unhideWhenUsed/>
    <w:rsid w:val="003803EE"/>
    <w:rPr>
      <w:b/>
      <w:lang w:val="en-US"/>
    </w:rPr>
  </w:style>
  <w:style w:type="paragraph" w:customStyle="1" w:styleId="Question">
    <w:name w:val="Question"/>
    <w:basedOn w:val="Normal"/>
    <w:next w:val="Normal"/>
    <w:qFormat/>
    <w:rsid w:val="00C22506"/>
    <w:pPr>
      <w:numPr>
        <w:numId w:val="6"/>
      </w:numPr>
      <w:ind w:left="284" w:hanging="284"/>
    </w:pPr>
    <w:rPr>
      <w:i/>
      <w:lang w:val="en-US"/>
    </w:rPr>
  </w:style>
  <w:style w:type="character" w:customStyle="1" w:styleId="Heading3Char">
    <w:name w:val="Heading 3 Char"/>
    <w:basedOn w:val="DefaultParagraphFont"/>
    <w:link w:val="Heading3"/>
    <w:uiPriority w:val="9"/>
    <w:semiHidden/>
    <w:rsid w:val="00C312C6"/>
    <w:rPr>
      <w:rFonts w:asciiTheme="majorHAnsi" w:eastAsiaTheme="majorEastAsia" w:hAnsiTheme="majorHAnsi" w:cstheme="majorBidi"/>
      <w:b/>
      <w:bCs/>
      <w:color w:val="4F81BD" w:themeColor="accent1"/>
      <w:sz w:val="23"/>
      <w:szCs w:val="20"/>
    </w:rPr>
  </w:style>
  <w:style w:type="character" w:customStyle="1" w:styleId="Heading1Char">
    <w:name w:val="Heading 1 Char"/>
    <w:basedOn w:val="DefaultParagraphFont"/>
    <w:link w:val="Heading1"/>
    <w:rsid w:val="00C312C6"/>
    <w:rPr>
      <w:rFonts w:ascii="Times New Roman" w:eastAsia="Times New Roman" w:hAnsi="Times New Roman" w:cs="Times New Roman"/>
      <w:i/>
      <w:sz w:val="20"/>
      <w:szCs w:val="20"/>
      <w:lang w:eastAsia="en-GB"/>
    </w:rPr>
  </w:style>
  <w:style w:type="character" w:customStyle="1" w:styleId="Heading4Char">
    <w:name w:val="Heading 4 Char"/>
    <w:basedOn w:val="DefaultParagraphFont"/>
    <w:link w:val="Heading4"/>
    <w:rsid w:val="00C312C6"/>
    <w:rPr>
      <w:rFonts w:ascii="Arial" w:eastAsia="Times New Roman" w:hAnsi="Arial" w:cs="Times New Roman"/>
      <w:b/>
      <w:color w:val="000000"/>
      <w:sz w:val="20"/>
      <w:szCs w:val="20"/>
    </w:rPr>
  </w:style>
  <w:style w:type="character" w:customStyle="1" w:styleId="Heading5Char">
    <w:name w:val="Heading 5 Char"/>
    <w:basedOn w:val="DefaultParagraphFont"/>
    <w:link w:val="Heading5"/>
    <w:rsid w:val="00C312C6"/>
    <w:rPr>
      <w:rFonts w:ascii="Arial" w:eastAsia="Times New Roman" w:hAnsi="Arial" w:cs="Times New Roman"/>
      <w:color w:val="000000"/>
      <w:sz w:val="20"/>
      <w:szCs w:val="20"/>
      <w:u w:val="single"/>
    </w:rPr>
  </w:style>
  <w:style w:type="character" w:customStyle="1" w:styleId="Heading6Char">
    <w:name w:val="Heading 6 Char"/>
    <w:basedOn w:val="DefaultParagraphFont"/>
    <w:link w:val="Heading6"/>
    <w:rsid w:val="00C312C6"/>
    <w:rPr>
      <w:rFonts w:ascii="Arial" w:eastAsia="Times New Roman" w:hAnsi="Arial" w:cs="Times New Roman"/>
      <w:sz w:val="20"/>
      <w:szCs w:val="20"/>
      <w:u w:val="single"/>
      <w:lang w:eastAsia="en-GB"/>
    </w:rPr>
  </w:style>
  <w:style w:type="character" w:customStyle="1" w:styleId="Heading7Char">
    <w:name w:val="Heading 7 Char"/>
    <w:basedOn w:val="DefaultParagraphFont"/>
    <w:link w:val="Heading7"/>
    <w:rsid w:val="00C312C6"/>
    <w:rPr>
      <w:rFonts w:ascii="Arial" w:eastAsia="Times New Roman" w:hAnsi="Arial" w:cs="Times New Roman"/>
      <w:color w:val="0000FF"/>
      <w:sz w:val="20"/>
      <w:szCs w:val="20"/>
      <w:u w:val="single"/>
      <w:lang w:eastAsia="en-GB"/>
    </w:rPr>
  </w:style>
  <w:style w:type="character" w:customStyle="1" w:styleId="Heading8Char">
    <w:name w:val="Heading 8 Char"/>
    <w:basedOn w:val="DefaultParagraphFont"/>
    <w:link w:val="Heading8"/>
    <w:rsid w:val="00C312C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312C6"/>
    <w:rPr>
      <w:rFonts w:ascii="Arial" w:eastAsia="Times New Roman" w:hAnsi="Arial" w:cs="Arial"/>
    </w:rPr>
  </w:style>
  <w:style w:type="numbering" w:customStyle="1" w:styleId="NoList1">
    <w:name w:val="No List1"/>
    <w:next w:val="NoList"/>
    <w:uiPriority w:val="99"/>
    <w:semiHidden/>
    <w:unhideWhenUsed/>
    <w:rsid w:val="00C312C6"/>
  </w:style>
  <w:style w:type="paragraph" w:styleId="BodyText">
    <w:name w:val="Body Text"/>
    <w:basedOn w:val="Normal"/>
    <w:link w:val="BodyTextChar"/>
    <w:rsid w:val="00C312C6"/>
    <w:pPr>
      <w:spacing w:after="0"/>
    </w:pPr>
    <w:rPr>
      <w:rFonts w:ascii="Times New Roman" w:hAnsi="Times New Roman"/>
      <w:b/>
      <w:sz w:val="20"/>
      <w:lang w:eastAsia="en-GB"/>
    </w:rPr>
  </w:style>
  <w:style w:type="character" w:customStyle="1" w:styleId="BodyTextChar">
    <w:name w:val="Body Text Char"/>
    <w:basedOn w:val="DefaultParagraphFont"/>
    <w:link w:val="BodyText"/>
    <w:rsid w:val="00C312C6"/>
    <w:rPr>
      <w:rFonts w:ascii="Times New Roman" w:eastAsia="Times New Roman" w:hAnsi="Times New Roman" w:cs="Times New Roman"/>
      <w:b/>
      <w:sz w:val="20"/>
      <w:szCs w:val="20"/>
      <w:lang w:eastAsia="en-GB"/>
    </w:rPr>
  </w:style>
  <w:style w:type="paragraph" w:styleId="BodyText2">
    <w:name w:val="Body Text 2"/>
    <w:basedOn w:val="Normal"/>
    <w:link w:val="BodyText2Char"/>
    <w:rsid w:val="00C312C6"/>
    <w:pPr>
      <w:spacing w:after="0"/>
    </w:pPr>
    <w:rPr>
      <w:rFonts w:ascii="Times New Roman" w:hAnsi="Times New Roman"/>
      <w:i/>
      <w:sz w:val="20"/>
      <w:lang w:eastAsia="en-GB"/>
    </w:rPr>
  </w:style>
  <w:style w:type="character" w:customStyle="1" w:styleId="BodyText2Char">
    <w:name w:val="Body Text 2 Char"/>
    <w:basedOn w:val="DefaultParagraphFont"/>
    <w:link w:val="BodyText2"/>
    <w:rsid w:val="00C312C6"/>
    <w:rPr>
      <w:rFonts w:ascii="Times New Roman" w:eastAsia="Times New Roman" w:hAnsi="Times New Roman" w:cs="Times New Roman"/>
      <w:i/>
      <w:sz w:val="20"/>
      <w:szCs w:val="20"/>
      <w:lang w:eastAsia="en-GB"/>
    </w:rPr>
  </w:style>
  <w:style w:type="character" w:styleId="PageNumber">
    <w:name w:val="page number"/>
    <w:basedOn w:val="DefaultParagraphFont"/>
    <w:rsid w:val="00C312C6"/>
    <w:rPr>
      <w:rFonts w:cs="Times New Roman"/>
    </w:rPr>
  </w:style>
  <w:style w:type="paragraph" w:styleId="BodyText3">
    <w:name w:val="Body Text 3"/>
    <w:basedOn w:val="Normal"/>
    <w:link w:val="BodyText3Char"/>
    <w:rsid w:val="00C312C6"/>
    <w:pPr>
      <w:pBdr>
        <w:top w:val="single" w:sz="4" w:space="1" w:color="auto"/>
        <w:left w:val="single" w:sz="4" w:space="4" w:color="auto"/>
        <w:bottom w:val="single" w:sz="4" w:space="1" w:color="auto"/>
        <w:right w:val="single" w:sz="4" w:space="4" w:color="auto"/>
      </w:pBdr>
      <w:shd w:val="pct5" w:color="auto" w:fill="FFFFFF"/>
      <w:spacing w:after="0"/>
    </w:pPr>
    <w:rPr>
      <w:i/>
      <w:sz w:val="20"/>
      <w:lang w:eastAsia="en-GB"/>
    </w:rPr>
  </w:style>
  <w:style w:type="character" w:customStyle="1" w:styleId="BodyText3Char">
    <w:name w:val="Body Text 3 Char"/>
    <w:basedOn w:val="DefaultParagraphFont"/>
    <w:link w:val="BodyText3"/>
    <w:rsid w:val="00C312C6"/>
    <w:rPr>
      <w:rFonts w:ascii="Arial" w:eastAsia="Times New Roman" w:hAnsi="Arial" w:cs="Times New Roman"/>
      <w:i/>
      <w:sz w:val="20"/>
      <w:szCs w:val="20"/>
      <w:shd w:val="pct5" w:color="auto" w:fill="FFFFFF"/>
      <w:lang w:eastAsia="en-GB"/>
    </w:rPr>
  </w:style>
  <w:style w:type="paragraph" w:styleId="BodyTextIndent3">
    <w:name w:val="Body Text Indent 3"/>
    <w:basedOn w:val="Normal"/>
    <w:link w:val="BodyTextIndent3Char"/>
    <w:rsid w:val="00C312C6"/>
    <w:pPr>
      <w:tabs>
        <w:tab w:val="left" w:pos="720"/>
        <w:tab w:val="left" w:pos="1080"/>
      </w:tabs>
      <w:spacing w:after="0"/>
      <w:ind w:left="1080" w:firstLine="360"/>
      <w:jc w:val="both"/>
    </w:pPr>
    <w:rPr>
      <w:sz w:val="20"/>
      <w:lang w:eastAsia="en-GB"/>
    </w:rPr>
  </w:style>
  <w:style w:type="character" w:customStyle="1" w:styleId="BodyTextIndent3Char">
    <w:name w:val="Body Text Indent 3 Char"/>
    <w:basedOn w:val="DefaultParagraphFont"/>
    <w:link w:val="BodyTextIndent3"/>
    <w:rsid w:val="00C312C6"/>
    <w:rPr>
      <w:rFonts w:ascii="Arial" w:eastAsia="Times New Roman" w:hAnsi="Arial" w:cs="Times New Roman"/>
      <w:sz w:val="20"/>
      <w:szCs w:val="20"/>
      <w:lang w:eastAsia="en-GB"/>
    </w:rPr>
  </w:style>
  <w:style w:type="paragraph" w:styleId="Title">
    <w:name w:val="Title"/>
    <w:basedOn w:val="Normal"/>
    <w:link w:val="TitleChar"/>
    <w:qFormat/>
    <w:rsid w:val="00C312C6"/>
    <w:pPr>
      <w:spacing w:after="0"/>
      <w:jc w:val="center"/>
    </w:pPr>
    <w:rPr>
      <w:b/>
      <w:sz w:val="22"/>
      <w:lang w:eastAsia="en-GB"/>
    </w:rPr>
  </w:style>
  <w:style w:type="character" w:customStyle="1" w:styleId="TitleChar">
    <w:name w:val="Title Char"/>
    <w:basedOn w:val="DefaultParagraphFont"/>
    <w:link w:val="Title"/>
    <w:rsid w:val="00C312C6"/>
    <w:rPr>
      <w:rFonts w:ascii="Arial" w:eastAsia="Times New Roman" w:hAnsi="Arial" w:cs="Times New Roman"/>
      <w:b/>
      <w:szCs w:val="20"/>
      <w:lang w:eastAsia="en-GB"/>
    </w:rPr>
  </w:style>
  <w:style w:type="paragraph" w:styleId="BodyTextIndent">
    <w:name w:val="Body Text Indent"/>
    <w:basedOn w:val="Normal"/>
    <w:link w:val="BodyTextIndentChar"/>
    <w:rsid w:val="00C312C6"/>
    <w:pPr>
      <w:spacing w:after="0"/>
      <w:ind w:left="720" w:hanging="720"/>
    </w:pPr>
    <w:rPr>
      <w:rFonts w:ascii="Univers (W1)" w:hAnsi="Univers (W1)"/>
      <w:sz w:val="22"/>
      <w:lang w:eastAsia="en-GB"/>
    </w:rPr>
  </w:style>
  <w:style w:type="character" w:customStyle="1" w:styleId="BodyTextIndentChar">
    <w:name w:val="Body Text Indent Char"/>
    <w:basedOn w:val="DefaultParagraphFont"/>
    <w:link w:val="BodyTextIndent"/>
    <w:rsid w:val="00C312C6"/>
    <w:rPr>
      <w:rFonts w:ascii="Univers (W1)" w:eastAsia="Times New Roman" w:hAnsi="Univers (W1)" w:cs="Times New Roman"/>
      <w:szCs w:val="20"/>
      <w:lang w:eastAsia="en-GB"/>
    </w:rPr>
  </w:style>
  <w:style w:type="paragraph" w:styleId="BodyTextIndent2">
    <w:name w:val="Body Text Indent 2"/>
    <w:basedOn w:val="Normal"/>
    <w:link w:val="BodyTextIndent2Char"/>
    <w:rsid w:val="00C312C6"/>
    <w:pPr>
      <w:spacing w:after="0"/>
      <w:ind w:left="720" w:hanging="720"/>
      <w:jc w:val="both"/>
    </w:pPr>
    <w:rPr>
      <w:rFonts w:ascii="Univers (W1)" w:hAnsi="Univers (W1)"/>
      <w:sz w:val="22"/>
      <w:lang w:eastAsia="en-GB"/>
    </w:rPr>
  </w:style>
  <w:style w:type="character" w:customStyle="1" w:styleId="BodyTextIndent2Char">
    <w:name w:val="Body Text Indent 2 Char"/>
    <w:basedOn w:val="DefaultParagraphFont"/>
    <w:link w:val="BodyTextIndent2"/>
    <w:rsid w:val="00C312C6"/>
    <w:rPr>
      <w:rFonts w:ascii="Univers (W1)" w:eastAsia="Times New Roman" w:hAnsi="Univers (W1)" w:cs="Times New Roman"/>
      <w:szCs w:val="20"/>
      <w:lang w:eastAsia="en-GB"/>
    </w:rPr>
  </w:style>
  <w:style w:type="character" w:styleId="CommentReference">
    <w:name w:val="annotation reference"/>
    <w:basedOn w:val="DefaultParagraphFont"/>
    <w:semiHidden/>
    <w:rsid w:val="00C312C6"/>
    <w:rPr>
      <w:rFonts w:cs="Times New Roman"/>
      <w:sz w:val="16"/>
      <w:szCs w:val="16"/>
    </w:rPr>
  </w:style>
  <w:style w:type="paragraph" w:styleId="CommentText">
    <w:name w:val="annotation text"/>
    <w:basedOn w:val="Normal"/>
    <w:link w:val="CommentTextChar"/>
    <w:semiHidden/>
    <w:rsid w:val="00C312C6"/>
    <w:pPr>
      <w:spacing w:after="0"/>
    </w:pPr>
    <w:rPr>
      <w:rFonts w:ascii="Times New Roman" w:hAnsi="Times New Roman"/>
      <w:sz w:val="20"/>
      <w:lang w:eastAsia="en-GB"/>
    </w:rPr>
  </w:style>
  <w:style w:type="character" w:customStyle="1" w:styleId="CommentTextChar">
    <w:name w:val="Comment Text Char"/>
    <w:basedOn w:val="DefaultParagraphFont"/>
    <w:link w:val="CommentText"/>
    <w:semiHidden/>
    <w:rsid w:val="00C312C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C312C6"/>
    <w:rPr>
      <w:b/>
      <w:bCs/>
    </w:rPr>
  </w:style>
  <w:style w:type="character" w:customStyle="1" w:styleId="CommentSubjectChar">
    <w:name w:val="Comment Subject Char"/>
    <w:basedOn w:val="CommentTextChar"/>
    <w:link w:val="CommentSubject"/>
    <w:semiHidden/>
    <w:rsid w:val="00C312C6"/>
    <w:rPr>
      <w:rFonts w:ascii="Times New Roman" w:eastAsia="Times New Roman" w:hAnsi="Times New Roman" w:cs="Times New Roman"/>
      <w:b/>
      <w:bCs/>
      <w:sz w:val="20"/>
      <w:szCs w:val="20"/>
      <w:lang w:eastAsia="en-GB"/>
    </w:rPr>
  </w:style>
  <w:style w:type="character" w:styleId="Strong">
    <w:name w:val="Strong"/>
    <w:basedOn w:val="DefaultParagraphFont"/>
    <w:qFormat/>
    <w:rsid w:val="00C312C6"/>
    <w:rPr>
      <w:rFonts w:cs="Times New Roman"/>
      <w:b/>
      <w:bCs/>
    </w:rPr>
  </w:style>
  <w:style w:type="paragraph" w:customStyle="1" w:styleId="BulletedBodyText">
    <w:name w:val="Bulleted Body Text"/>
    <w:basedOn w:val="BodyText"/>
    <w:rsid w:val="00C312C6"/>
    <w:pPr>
      <w:keepLines/>
      <w:numPr>
        <w:numId w:val="7"/>
      </w:numPr>
      <w:spacing w:before="20" w:after="120" w:line="360" w:lineRule="auto"/>
      <w:jc w:val="both"/>
    </w:pPr>
    <w:rPr>
      <w:rFonts w:ascii="Arial" w:hAnsi="Arial"/>
      <w:b w:val="0"/>
      <w:sz w:val="18"/>
      <w:szCs w:val="24"/>
      <w:lang w:eastAsia="en-US"/>
    </w:rPr>
  </w:style>
  <w:style w:type="paragraph" w:customStyle="1" w:styleId="UnnumberedHeading1">
    <w:name w:val="Unnumbered Heading 1"/>
    <w:basedOn w:val="Normal"/>
    <w:next w:val="BodyText"/>
    <w:rsid w:val="00C312C6"/>
    <w:pPr>
      <w:keepNext/>
      <w:spacing w:before="240"/>
      <w:outlineLvl w:val="0"/>
    </w:pPr>
    <w:rPr>
      <w:color w:val="00247D"/>
      <w:sz w:val="40"/>
      <w:szCs w:val="24"/>
    </w:rPr>
  </w:style>
  <w:style w:type="paragraph" w:customStyle="1" w:styleId="UnnumberedHeading2">
    <w:name w:val="Unnumbered Heading 2"/>
    <w:basedOn w:val="Normal"/>
    <w:next w:val="Heading2"/>
    <w:rsid w:val="00C312C6"/>
    <w:pPr>
      <w:keepNext/>
      <w:spacing w:before="120" w:after="120"/>
      <w:ind w:left="573" w:hanging="573"/>
      <w:outlineLvl w:val="1"/>
    </w:pPr>
    <w:rPr>
      <w:color w:val="000080"/>
      <w:sz w:val="24"/>
      <w:szCs w:val="24"/>
    </w:rPr>
  </w:style>
  <w:style w:type="paragraph" w:customStyle="1" w:styleId="UnnumberedHeading3">
    <w:name w:val="Unnumbered Heading 3"/>
    <w:basedOn w:val="Normal"/>
    <w:next w:val="BodyText"/>
    <w:rsid w:val="00C312C6"/>
    <w:pPr>
      <w:keepNext/>
      <w:spacing w:before="120" w:after="120"/>
      <w:ind w:left="567" w:hanging="567"/>
      <w:outlineLvl w:val="2"/>
    </w:pPr>
    <w:rPr>
      <w:color w:val="000080"/>
      <w:sz w:val="20"/>
      <w:szCs w:val="24"/>
    </w:rPr>
  </w:style>
  <w:style w:type="paragraph" w:customStyle="1" w:styleId="FooterAddress">
    <w:name w:val="Footer Address"/>
    <w:basedOn w:val="Footer"/>
    <w:rsid w:val="00C312C6"/>
    <w:pPr>
      <w:tabs>
        <w:tab w:val="clear" w:pos="4513"/>
        <w:tab w:val="clear" w:pos="9026"/>
        <w:tab w:val="center" w:pos="4153"/>
        <w:tab w:val="right" w:pos="8306"/>
      </w:tabs>
    </w:pPr>
    <w:rPr>
      <w:sz w:val="14"/>
      <w:szCs w:val="24"/>
    </w:rPr>
  </w:style>
  <w:style w:type="paragraph" w:customStyle="1" w:styleId="CoverClientName">
    <w:name w:val="Cover Client Name"/>
    <w:basedOn w:val="Normal"/>
    <w:rsid w:val="00C312C6"/>
    <w:pPr>
      <w:widowControl w:val="0"/>
      <w:spacing w:after="0"/>
    </w:pPr>
    <w:rPr>
      <w:b/>
      <w:bCs/>
      <w:color w:val="00247D"/>
      <w:sz w:val="28"/>
    </w:rPr>
  </w:style>
  <w:style w:type="paragraph" w:customStyle="1" w:styleId="Address">
    <w:name w:val="Address"/>
    <w:basedOn w:val="Heading4"/>
    <w:rsid w:val="00C312C6"/>
    <w:pPr>
      <w:spacing w:after="120"/>
    </w:pPr>
    <w:rPr>
      <w:bCs/>
      <w:color w:val="808080"/>
      <w:sz w:val="22"/>
      <w:szCs w:val="24"/>
    </w:rPr>
  </w:style>
  <w:style w:type="table" w:customStyle="1" w:styleId="TableGrid1">
    <w:name w:val="Table Grid1"/>
    <w:basedOn w:val="TableNormal"/>
    <w:next w:val="TableGrid"/>
    <w:rsid w:val="00C312C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C312C6"/>
    <w:pPr>
      <w:tabs>
        <w:tab w:val="left" w:pos="1425"/>
      </w:tabs>
      <w:spacing w:after="0"/>
      <w:ind w:right="53"/>
      <w:jc w:val="both"/>
    </w:pPr>
    <w:rPr>
      <w:rFonts w:eastAsia="SimSun"/>
      <w:color w:val="FF6600"/>
      <w:sz w:val="22"/>
      <w:szCs w:val="16"/>
      <w:lang w:eastAsia="zh-CN"/>
    </w:rPr>
  </w:style>
  <w:style w:type="paragraph" w:styleId="FootnoteText">
    <w:name w:val="footnote text"/>
    <w:basedOn w:val="Normal"/>
    <w:link w:val="FootnoteTextChar"/>
    <w:semiHidden/>
    <w:rsid w:val="00C312C6"/>
    <w:pPr>
      <w:spacing w:after="0"/>
    </w:pPr>
    <w:rPr>
      <w:rFonts w:ascii="Times New Roman" w:hAnsi="Times New Roman"/>
      <w:sz w:val="20"/>
      <w:lang w:eastAsia="en-GB"/>
    </w:rPr>
  </w:style>
  <w:style w:type="character" w:customStyle="1" w:styleId="FootnoteTextChar">
    <w:name w:val="Footnote Text Char"/>
    <w:basedOn w:val="DefaultParagraphFont"/>
    <w:link w:val="FootnoteText"/>
    <w:semiHidden/>
    <w:rsid w:val="00C312C6"/>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C312C6"/>
    <w:rPr>
      <w:rFonts w:cs="Times New Roman"/>
      <w:vertAlign w:val="superscript"/>
    </w:rPr>
  </w:style>
  <w:style w:type="paragraph" w:styleId="PlainText">
    <w:name w:val="Plain Text"/>
    <w:basedOn w:val="Normal"/>
    <w:link w:val="PlainTextChar"/>
    <w:rsid w:val="00C312C6"/>
    <w:pPr>
      <w:spacing w:after="0"/>
    </w:pPr>
    <w:rPr>
      <w:rFonts w:ascii="Courier New" w:hAnsi="Courier New"/>
      <w:sz w:val="20"/>
      <w:lang w:eastAsia="en-GB"/>
    </w:rPr>
  </w:style>
  <w:style w:type="character" w:customStyle="1" w:styleId="PlainTextChar">
    <w:name w:val="Plain Text Char"/>
    <w:basedOn w:val="DefaultParagraphFont"/>
    <w:link w:val="PlainText"/>
    <w:rsid w:val="00C312C6"/>
    <w:rPr>
      <w:rFonts w:ascii="Courier New" w:eastAsia="Times New Roman" w:hAnsi="Courier New" w:cs="Times New Roman"/>
      <w:sz w:val="20"/>
      <w:szCs w:val="20"/>
      <w:lang w:eastAsia="en-GB"/>
    </w:rPr>
  </w:style>
  <w:style w:type="paragraph" w:customStyle="1" w:styleId="CharCharCharChar">
    <w:name w:val="Char Char Char Char"/>
    <w:basedOn w:val="Normal"/>
    <w:rsid w:val="00C312C6"/>
    <w:pPr>
      <w:tabs>
        <w:tab w:val="left" w:pos="1425"/>
      </w:tabs>
      <w:spacing w:after="0"/>
      <w:ind w:right="53"/>
      <w:jc w:val="both"/>
    </w:pPr>
    <w:rPr>
      <w:rFonts w:eastAsia="SimSun"/>
      <w:color w:val="FF6600"/>
      <w:sz w:val="22"/>
      <w:szCs w:val="16"/>
      <w:lang w:eastAsia="zh-CN"/>
    </w:rPr>
  </w:style>
  <w:style w:type="paragraph" w:styleId="DocumentMap">
    <w:name w:val="Document Map"/>
    <w:basedOn w:val="Normal"/>
    <w:link w:val="DocumentMapChar"/>
    <w:semiHidden/>
    <w:rsid w:val="00C312C6"/>
    <w:pPr>
      <w:shd w:val="clear" w:color="auto" w:fill="000080"/>
      <w:spacing w:after="0"/>
    </w:pPr>
    <w:rPr>
      <w:rFonts w:ascii="Tahoma" w:hAnsi="Tahoma" w:cs="Tahoma"/>
      <w:sz w:val="20"/>
      <w:lang w:eastAsia="en-GB"/>
    </w:rPr>
  </w:style>
  <w:style w:type="character" w:customStyle="1" w:styleId="DocumentMapChar">
    <w:name w:val="Document Map Char"/>
    <w:basedOn w:val="DefaultParagraphFont"/>
    <w:link w:val="DocumentMap"/>
    <w:semiHidden/>
    <w:rsid w:val="00C312C6"/>
    <w:rPr>
      <w:rFonts w:ascii="Tahoma" w:eastAsia="Times New Roman" w:hAnsi="Tahoma" w:cs="Tahoma"/>
      <w:sz w:val="20"/>
      <w:szCs w:val="20"/>
      <w:shd w:val="clear" w:color="auto" w:fill="000080"/>
      <w:lang w:eastAsia="en-GB"/>
    </w:rPr>
  </w:style>
  <w:style w:type="paragraph" w:customStyle="1" w:styleId="Default">
    <w:name w:val="Default"/>
    <w:rsid w:val="00C312C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rsid w:val="00C312C6"/>
    <w:rPr>
      <w:color w:val="606420"/>
      <w:u w:val="single"/>
    </w:rPr>
  </w:style>
  <w:style w:type="character" w:styleId="PlaceholderText">
    <w:name w:val="Placeholder Text"/>
    <w:basedOn w:val="DefaultParagraphFont"/>
    <w:uiPriority w:val="99"/>
    <w:semiHidden/>
    <w:rsid w:val="00C312C6"/>
    <w:rPr>
      <w:color w:val="808080"/>
    </w:rPr>
  </w:style>
  <w:style w:type="character" w:styleId="Emphasis">
    <w:name w:val="Emphasis"/>
    <w:basedOn w:val="DefaultParagraphFont"/>
    <w:uiPriority w:val="20"/>
    <w:qFormat/>
    <w:rsid w:val="00C312C6"/>
    <w:rPr>
      <w:b/>
      <w:bCs/>
      <w:i w:val="0"/>
      <w:iCs w:val="0"/>
    </w:rPr>
  </w:style>
  <w:style w:type="character" w:customStyle="1" w:styleId="st">
    <w:name w:val="st"/>
    <w:basedOn w:val="DefaultParagraphFont"/>
    <w:rsid w:val="00C312C6"/>
  </w:style>
  <w:style w:type="character" w:customStyle="1" w:styleId="tgc">
    <w:name w:val="_tgc"/>
    <w:basedOn w:val="DefaultParagraphFont"/>
    <w:rsid w:val="00C312C6"/>
  </w:style>
  <w:style w:type="paragraph" w:styleId="NoSpacing">
    <w:name w:val="No Spacing"/>
    <w:link w:val="NoSpacingChar"/>
    <w:uiPriority w:val="1"/>
    <w:qFormat/>
    <w:rsid w:val="00C312C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312C6"/>
    <w:rPr>
      <w:rFonts w:eastAsiaTheme="minorEastAsia"/>
      <w:lang w:val="en-US" w:eastAsia="ja-JP"/>
    </w:rPr>
  </w:style>
  <w:style w:type="paragraph" w:styleId="ListBullet">
    <w:name w:val="List Bullet"/>
    <w:basedOn w:val="Normal"/>
    <w:uiPriority w:val="99"/>
    <w:unhideWhenUsed/>
    <w:rsid w:val="00C312C6"/>
    <w:pPr>
      <w:numPr>
        <w:numId w:val="10"/>
      </w:numPr>
      <w:spacing w:after="160" w:line="256" w:lineRule="auto"/>
      <w:contextualSpacing/>
    </w:pPr>
    <w:rPr>
      <w:rFonts w:asciiTheme="minorHAnsi" w:eastAsiaTheme="minorHAnsi" w:hAnsiTheme="minorHAnsi" w:cstheme="minorBidi"/>
      <w:sz w:val="22"/>
      <w:szCs w:val="22"/>
    </w:rPr>
  </w:style>
  <w:style w:type="character" w:customStyle="1" w:styleId="04-Normalcharacter">
    <w:name w:val="04-Normal character"/>
    <w:uiPriority w:val="1"/>
    <w:qFormat/>
    <w:rsid w:val="00C312C6"/>
  </w:style>
  <w:style w:type="paragraph" w:customStyle="1" w:styleId="BodyTexthanging">
    <w:name w:val="Body Text hanging"/>
    <w:basedOn w:val="BodyText"/>
    <w:rsid w:val="00C312C6"/>
    <w:pPr>
      <w:keepLines/>
      <w:spacing w:before="140" w:after="120"/>
      <w:ind w:left="720" w:hanging="720"/>
    </w:pPr>
    <w:rPr>
      <w:rFonts w:ascii="CG Times" w:hAnsi="CG Times"/>
      <w:b w:val="0"/>
      <w:sz w:val="22"/>
      <w:lang w:eastAsia="en-US"/>
    </w:rPr>
  </w:style>
  <w:style w:type="paragraph" w:styleId="EndnoteText">
    <w:name w:val="endnote text"/>
    <w:basedOn w:val="Normal"/>
    <w:link w:val="EndnoteTextChar"/>
    <w:rsid w:val="00C312C6"/>
    <w:pPr>
      <w:spacing w:after="0"/>
    </w:pPr>
    <w:rPr>
      <w:rFonts w:ascii="Times New Roman" w:hAnsi="Times New Roman"/>
      <w:sz w:val="20"/>
      <w:lang w:eastAsia="en-GB"/>
    </w:rPr>
  </w:style>
  <w:style w:type="character" w:customStyle="1" w:styleId="EndnoteTextChar">
    <w:name w:val="Endnote Text Char"/>
    <w:basedOn w:val="DefaultParagraphFont"/>
    <w:link w:val="EndnoteText"/>
    <w:rsid w:val="00C312C6"/>
    <w:rPr>
      <w:rFonts w:ascii="Times New Roman" w:eastAsia="Times New Roman" w:hAnsi="Times New Roman" w:cs="Times New Roman"/>
      <w:sz w:val="20"/>
      <w:szCs w:val="20"/>
      <w:lang w:eastAsia="en-GB"/>
    </w:rPr>
  </w:style>
  <w:style w:type="character" w:styleId="EndnoteReference">
    <w:name w:val="endnote reference"/>
    <w:basedOn w:val="DefaultParagraphFont"/>
    <w:rsid w:val="00C312C6"/>
    <w:rPr>
      <w:vertAlign w:val="superscript"/>
    </w:rPr>
  </w:style>
  <w:style w:type="paragraph" w:customStyle="1" w:styleId="09-Bodytext">
    <w:name w:val="09-Body text"/>
    <w:basedOn w:val="Normal"/>
    <w:qFormat/>
    <w:rsid w:val="00C312C6"/>
    <w:pPr>
      <w:spacing w:after="0"/>
    </w:pPr>
    <w:rPr>
      <w:rFonts w:eastAsiaTheme="minorHAnsi" w:cs="Arial"/>
      <w:sz w:val="22"/>
      <w:szCs w:val="22"/>
    </w:rPr>
  </w:style>
  <w:style w:type="paragraph" w:customStyle="1" w:styleId="22-Tablebullet">
    <w:name w:val="22-Table bullet"/>
    <w:basedOn w:val="Normal"/>
    <w:qFormat/>
    <w:rsid w:val="00C312C6"/>
    <w:pPr>
      <w:numPr>
        <w:numId w:val="11"/>
      </w:numPr>
      <w:spacing w:before="60" w:after="60" w:line="320" w:lineRule="atLeast"/>
      <w:ind w:right="28"/>
    </w:pPr>
    <w:rPr>
      <w:rFonts w:eastAsiaTheme="minorHAnsi" w:cs="Arial"/>
      <w:sz w:val="22"/>
      <w:szCs w:val="22"/>
    </w:rPr>
  </w:style>
  <w:style w:type="paragraph" w:customStyle="1" w:styleId="ASNormal">
    <w:name w:val="ASNormal"/>
    <w:basedOn w:val="Normal"/>
    <w:rsid w:val="00C312C6"/>
    <w:pPr>
      <w:spacing w:after="0"/>
    </w:pPr>
    <w:rPr>
      <w:rFonts w:eastAsiaTheme="minorHAnsi" w:cs="Arial"/>
      <w:spacing w:val="-6"/>
      <w:sz w:val="22"/>
      <w:szCs w:val="22"/>
    </w:rPr>
  </w:style>
  <w:style w:type="paragraph" w:customStyle="1" w:styleId="17-Subhead3">
    <w:name w:val="17-Subhead 3"/>
    <w:basedOn w:val="Normal"/>
    <w:qFormat/>
    <w:rsid w:val="00C312C6"/>
    <w:pPr>
      <w:keepNext/>
      <w:spacing w:before="280" w:after="140"/>
    </w:pPr>
    <w:rPr>
      <w:rFonts w:eastAsiaTheme="minorHAnsi" w:cs="Arial"/>
      <w:b/>
      <w:bCs/>
      <w:color w:val="000000"/>
      <w:sz w:val="22"/>
      <w:szCs w:val="22"/>
    </w:rPr>
  </w:style>
  <w:style w:type="character" w:customStyle="1" w:styleId="01-Bold">
    <w:name w:val="01-Bold"/>
    <w:basedOn w:val="DefaultParagraphFont"/>
    <w:uiPriority w:val="1"/>
    <w:qFormat/>
    <w:rsid w:val="00C312C6"/>
    <w:rPr>
      <w:b/>
      <w:bCs/>
    </w:rPr>
  </w:style>
  <w:style w:type="table" w:customStyle="1" w:styleId="TableGrid11">
    <w:name w:val="Table Grid11"/>
    <w:basedOn w:val="TableNormal"/>
    <w:next w:val="TableGrid"/>
    <w:uiPriority w:val="59"/>
    <w:rsid w:val="00C312C6"/>
    <w:pPr>
      <w:spacing w:after="0" w:line="240" w:lineRule="auto"/>
    </w:pPr>
    <w:rPr>
      <w:rFonts w:ascii="Arial" w:eastAsia="Arial" w:hAnsi="Arial" w:cs="Times New Roman"/>
      <w:sz w:val="20"/>
      <w:szCs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wFrontPageScheme">
    <w:name w:val="bwFrontPageScheme"/>
    <w:basedOn w:val="Normal"/>
    <w:uiPriority w:val="4"/>
    <w:rsid w:val="00C312C6"/>
    <w:pPr>
      <w:spacing w:after="0"/>
      <w:jc w:val="right"/>
    </w:pPr>
    <w:rPr>
      <w:rFonts w:ascii="Arial Bold" w:eastAsia="Arial" w:hAnsi="Arial Bold"/>
      <w:color w:val="FFFFFF"/>
      <w:sz w:val="64"/>
      <w:lang w:bidi="en-US"/>
    </w:rPr>
  </w:style>
  <w:style w:type="paragraph" w:customStyle="1" w:styleId="bwFrontPageJob">
    <w:name w:val="bwFrontPageJob"/>
    <w:basedOn w:val="Normal"/>
    <w:uiPriority w:val="4"/>
    <w:rsid w:val="00C312C6"/>
    <w:pPr>
      <w:spacing w:after="0"/>
      <w:jc w:val="right"/>
    </w:pPr>
    <w:rPr>
      <w:rFonts w:eastAsia="Arial"/>
      <w:color w:val="FFFFFF"/>
      <w:sz w:val="36"/>
      <w:lang w:bidi="en-US"/>
    </w:rPr>
  </w:style>
  <w:style w:type="paragraph" w:customStyle="1" w:styleId="bwFrontPageDetails">
    <w:name w:val="bwFrontPageDetails"/>
    <w:basedOn w:val="Normal"/>
    <w:uiPriority w:val="4"/>
    <w:rsid w:val="00C312C6"/>
    <w:pPr>
      <w:spacing w:before="60" w:after="0"/>
      <w:jc w:val="right"/>
    </w:pPr>
    <w:rPr>
      <w:rFonts w:eastAsia="Arial"/>
      <w:color w:val="FFFFFF"/>
      <w:sz w:val="28"/>
      <w:lang w:bidi="en-US"/>
    </w:rPr>
  </w:style>
  <w:style w:type="paragraph" w:customStyle="1" w:styleId="bwFrontPageDate">
    <w:name w:val="bwFrontPageDate"/>
    <w:basedOn w:val="Normal"/>
    <w:uiPriority w:val="4"/>
    <w:rsid w:val="00C312C6"/>
    <w:pPr>
      <w:spacing w:before="240" w:after="0"/>
      <w:jc w:val="right"/>
    </w:pPr>
    <w:rPr>
      <w:rFonts w:eastAsia="Arial"/>
      <w:color w:val="FFFFFF"/>
      <w:sz w:val="20"/>
      <w:lang w:bidi="en-US"/>
    </w:rPr>
  </w:style>
  <w:style w:type="paragraph" w:customStyle="1" w:styleId="bwFooterLeft">
    <w:name w:val="bwFooterLeft"/>
    <w:basedOn w:val="bwFooterRight"/>
    <w:rsid w:val="00C312C6"/>
    <w:pPr>
      <w:jc w:val="left"/>
    </w:pPr>
  </w:style>
  <w:style w:type="paragraph" w:customStyle="1" w:styleId="bwFooterRight">
    <w:name w:val="bwFooterRight"/>
    <w:basedOn w:val="Normal"/>
    <w:rsid w:val="00C312C6"/>
    <w:pPr>
      <w:spacing w:after="0"/>
      <w:jc w:val="right"/>
    </w:pPr>
    <w:rPr>
      <w:rFonts w:eastAsia="Arial"/>
      <w:color w:val="00446A"/>
      <w:sz w:val="13"/>
      <w:szCs w:val="22"/>
      <w:lang w:bidi="en-US"/>
    </w:rPr>
  </w:style>
  <w:style w:type="paragraph" w:customStyle="1" w:styleId="BodyAppendix">
    <w:name w:val="Body Appendix"/>
    <w:basedOn w:val="BodyText"/>
    <w:qFormat/>
    <w:rsid w:val="00C312C6"/>
    <w:pPr>
      <w:keepLines/>
      <w:numPr>
        <w:ilvl w:val="1"/>
        <w:numId w:val="12"/>
      </w:numPr>
      <w:tabs>
        <w:tab w:val="num" w:pos="864"/>
      </w:tabs>
      <w:spacing w:after="120" w:line="360" w:lineRule="auto"/>
      <w:ind w:left="864" w:hanging="576"/>
      <w:jc w:val="both"/>
      <w:outlineLvl w:val="1"/>
    </w:pPr>
    <w:rPr>
      <w:rFonts w:ascii="Arial" w:eastAsia="Arial" w:hAnsi="Arial"/>
      <w:b w:val="0"/>
      <w:lang w:eastAsia="en-US" w:bidi="en-US"/>
    </w:rPr>
  </w:style>
  <w:style w:type="paragraph" w:customStyle="1" w:styleId="11-Bullet1">
    <w:name w:val="11-Bullet 1"/>
    <w:basedOn w:val="09-Bodytext"/>
    <w:qFormat/>
    <w:rsid w:val="00C312C6"/>
    <w:pPr>
      <w:numPr>
        <w:numId w:val="13"/>
      </w:numPr>
      <w:tabs>
        <w:tab w:val="left" w:pos="907"/>
      </w:tabs>
      <w:ind w:left="454" w:hanging="454"/>
    </w:pPr>
    <w:rPr>
      <w:rFonts w:eastAsia="Times New Roman" w:cs="Times New Roman"/>
    </w:rPr>
  </w:style>
  <w:style w:type="paragraph" w:customStyle="1" w:styleId="21-Tabletext">
    <w:name w:val="21-Table text"/>
    <w:basedOn w:val="Normal"/>
    <w:qFormat/>
    <w:rsid w:val="00C312C6"/>
    <w:pPr>
      <w:spacing w:before="60" w:after="60" w:line="320" w:lineRule="atLeast"/>
      <w:ind w:left="28" w:right="28"/>
    </w:pPr>
    <w:rPr>
      <w:sz w:val="22"/>
      <w:szCs w:val="22"/>
    </w:rPr>
  </w:style>
  <w:style w:type="paragraph" w:customStyle="1" w:styleId="15-Subhead1">
    <w:name w:val="15-Subhead 1"/>
    <w:basedOn w:val="09-Bodytext"/>
    <w:next w:val="Normal"/>
    <w:qFormat/>
    <w:rsid w:val="00C312C6"/>
    <w:pPr>
      <w:keepNext/>
      <w:spacing w:before="280" w:after="140" w:line="360" w:lineRule="exact"/>
      <w:outlineLvl w:val="1"/>
    </w:pPr>
    <w:rPr>
      <w:rFonts w:eastAsia="Times New Roman" w:cs="Times New Roman"/>
      <w:b/>
      <w:color w:val="00607A"/>
      <w:sz w:val="30"/>
    </w:rPr>
  </w:style>
  <w:style w:type="paragraph" w:customStyle="1" w:styleId="16-Subhead2">
    <w:name w:val="16-Subhead 2"/>
    <w:basedOn w:val="15-Subhead1"/>
    <w:next w:val="Normal"/>
    <w:qFormat/>
    <w:rsid w:val="00C312C6"/>
    <w:pPr>
      <w:keepLines/>
      <w:spacing w:line="240" w:lineRule="auto"/>
      <w:outlineLvl w:val="2"/>
    </w:pPr>
    <w:rPr>
      <w:color w:val="7F7F7F" w:themeColor="text1" w:themeTint="8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4754">
      <w:bodyDiv w:val="1"/>
      <w:marLeft w:val="0"/>
      <w:marRight w:val="0"/>
      <w:marTop w:val="0"/>
      <w:marBottom w:val="0"/>
      <w:divBdr>
        <w:top w:val="none" w:sz="0" w:space="0" w:color="auto"/>
        <w:left w:val="none" w:sz="0" w:space="0" w:color="auto"/>
        <w:bottom w:val="none" w:sz="0" w:space="0" w:color="auto"/>
        <w:right w:val="none" w:sz="0" w:space="0" w:color="auto"/>
      </w:divBdr>
      <w:divsChild>
        <w:div w:id="2034335089">
          <w:marLeft w:val="547"/>
          <w:marRight w:val="0"/>
          <w:marTop w:val="0"/>
          <w:marBottom w:val="0"/>
          <w:divBdr>
            <w:top w:val="none" w:sz="0" w:space="0" w:color="auto"/>
            <w:left w:val="none" w:sz="0" w:space="0" w:color="auto"/>
            <w:bottom w:val="none" w:sz="0" w:space="0" w:color="auto"/>
            <w:right w:val="none" w:sz="0" w:space="0" w:color="auto"/>
          </w:divBdr>
        </w:div>
      </w:divsChild>
    </w:div>
    <w:div w:id="422729366">
      <w:bodyDiv w:val="1"/>
      <w:marLeft w:val="0"/>
      <w:marRight w:val="0"/>
      <w:marTop w:val="0"/>
      <w:marBottom w:val="0"/>
      <w:divBdr>
        <w:top w:val="none" w:sz="0" w:space="0" w:color="auto"/>
        <w:left w:val="none" w:sz="0" w:space="0" w:color="auto"/>
        <w:bottom w:val="none" w:sz="0" w:space="0" w:color="auto"/>
        <w:right w:val="none" w:sz="0" w:space="0" w:color="auto"/>
      </w:divBdr>
      <w:divsChild>
        <w:div w:id="663900260">
          <w:marLeft w:val="547"/>
          <w:marRight w:val="0"/>
          <w:marTop w:val="0"/>
          <w:marBottom w:val="0"/>
          <w:divBdr>
            <w:top w:val="none" w:sz="0" w:space="0" w:color="auto"/>
            <w:left w:val="none" w:sz="0" w:space="0" w:color="auto"/>
            <w:bottom w:val="none" w:sz="0" w:space="0" w:color="auto"/>
            <w:right w:val="none" w:sz="0" w:space="0" w:color="auto"/>
          </w:divBdr>
        </w:div>
      </w:divsChild>
    </w:div>
    <w:div w:id="798229368">
      <w:bodyDiv w:val="1"/>
      <w:marLeft w:val="0"/>
      <w:marRight w:val="0"/>
      <w:marTop w:val="0"/>
      <w:marBottom w:val="0"/>
      <w:divBdr>
        <w:top w:val="none" w:sz="0" w:space="0" w:color="auto"/>
        <w:left w:val="none" w:sz="0" w:space="0" w:color="auto"/>
        <w:bottom w:val="none" w:sz="0" w:space="0" w:color="auto"/>
        <w:right w:val="none" w:sz="0" w:space="0" w:color="auto"/>
      </w:divBdr>
      <w:divsChild>
        <w:div w:id="2051414876">
          <w:marLeft w:val="547"/>
          <w:marRight w:val="0"/>
          <w:marTop w:val="43"/>
          <w:marBottom w:val="0"/>
          <w:divBdr>
            <w:top w:val="none" w:sz="0" w:space="0" w:color="auto"/>
            <w:left w:val="none" w:sz="0" w:space="0" w:color="auto"/>
            <w:bottom w:val="none" w:sz="0" w:space="0" w:color="auto"/>
            <w:right w:val="none" w:sz="0" w:space="0" w:color="auto"/>
          </w:divBdr>
        </w:div>
      </w:divsChild>
    </w:div>
    <w:div w:id="1584954633">
      <w:bodyDiv w:val="1"/>
      <w:marLeft w:val="0"/>
      <w:marRight w:val="0"/>
      <w:marTop w:val="0"/>
      <w:marBottom w:val="0"/>
      <w:divBdr>
        <w:top w:val="none" w:sz="0" w:space="0" w:color="auto"/>
        <w:left w:val="none" w:sz="0" w:space="0" w:color="auto"/>
        <w:bottom w:val="none" w:sz="0" w:space="0" w:color="auto"/>
        <w:right w:val="none" w:sz="0" w:space="0" w:color="auto"/>
      </w:divBdr>
      <w:divsChild>
        <w:div w:id="79525729">
          <w:marLeft w:val="547"/>
          <w:marRight w:val="0"/>
          <w:marTop w:val="43"/>
          <w:marBottom w:val="0"/>
          <w:divBdr>
            <w:top w:val="none" w:sz="0" w:space="0" w:color="auto"/>
            <w:left w:val="none" w:sz="0" w:space="0" w:color="auto"/>
            <w:bottom w:val="none" w:sz="0" w:space="0" w:color="auto"/>
            <w:right w:val="none" w:sz="0" w:space="0" w:color="auto"/>
          </w:divBdr>
        </w:div>
        <w:div w:id="277225413">
          <w:marLeft w:val="547"/>
          <w:marRight w:val="0"/>
          <w:marTop w:val="43"/>
          <w:marBottom w:val="0"/>
          <w:divBdr>
            <w:top w:val="none" w:sz="0" w:space="0" w:color="auto"/>
            <w:left w:val="none" w:sz="0" w:space="0" w:color="auto"/>
            <w:bottom w:val="none" w:sz="0" w:space="0" w:color="auto"/>
            <w:right w:val="none" w:sz="0" w:space="0" w:color="auto"/>
          </w:divBdr>
        </w:div>
        <w:div w:id="1231186905">
          <w:marLeft w:val="547"/>
          <w:marRight w:val="0"/>
          <w:marTop w:val="43"/>
          <w:marBottom w:val="0"/>
          <w:divBdr>
            <w:top w:val="none" w:sz="0" w:space="0" w:color="auto"/>
            <w:left w:val="none" w:sz="0" w:space="0" w:color="auto"/>
            <w:bottom w:val="none" w:sz="0" w:space="0" w:color="auto"/>
            <w:right w:val="none" w:sz="0" w:space="0" w:color="auto"/>
          </w:divBdr>
        </w:div>
        <w:div w:id="1804619568">
          <w:marLeft w:val="547"/>
          <w:marRight w:val="0"/>
          <w:marTop w:val="4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otborders.gov.uk/pension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ottishborderscouncilpensionfund.org/media/4239/annual-report-2017-18-audited.pdf" TargetMode="External"/><Relationship Id="rId17" Type="http://schemas.openxmlformats.org/officeDocument/2006/relationships/hyperlink" Target="https://www.scottishborderscouncilpensionfund.org/media/4253/180614-full-risk-register.pdf" TargetMode="External"/><Relationship Id="rId2" Type="http://schemas.openxmlformats.org/officeDocument/2006/relationships/numbering" Target="numbering.xml"/><Relationship Id="rId16" Type="http://schemas.openxmlformats.org/officeDocument/2006/relationships/hyperlink" Target="http://scottishborders.moderngov.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scottishborderscouncilpensionfund.org/" TargetMode="Externa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nsultation@pensions-intitute.org" TargetMode="External"/><Relationship Id="rId14" Type="http://schemas.openxmlformats.org/officeDocument/2006/relationships/hyperlink" Target="http://www.scotborders.gov.uk/pension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3 Year Annualised Returns</a:t>
            </a:r>
            <a:r>
              <a:rPr lang="en-GB" baseline="0"/>
              <a:t> ending 31 March</a:t>
            </a:r>
            <a:endParaRPr lang="en-GB"/>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Returns!$A$2</c:f>
              <c:strCache>
                <c:ptCount val="1"/>
                <c:pt idx="0">
                  <c:v>Actual Return</c:v>
                </c:pt>
              </c:strCache>
            </c:strRef>
          </c:tx>
          <c:spPr>
            <a:solidFill>
              <a:schemeClr val="accent1">
                <a:lumMod val="20000"/>
                <a:lumOff val="80000"/>
              </a:schemeClr>
            </a:solidFill>
          </c:spPr>
          <c:invertIfNegative val="0"/>
          <c:cat>
            <c:numRef>
              <c:f>Returns!$E$1:$N$1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Returns!$E$2:$N$2</c:f>
              <c:numCache>
                <c:formatCode>0.0%;\(0.0\)%</c:formatCode>
                <c:ptCount val="10"/>
                <c:pt idx="0">
                  <c:v>-7.8E-2</c:v>
                </c:pt>
                <c:pt idx="1">
                  <c:v>0.02</c:v>
                </c:pt>
                <c:pt idx="2">
                  <c:v>7.0999999999999994E-2</c:v>
                </c:pt>
                <c:pt idx="3">
                  <c:v>0.17499999999999999</c:v>
                </c:pt>
                <c:pt idx="4">
                  <c:v>9.1999999999999998E-2</c:v>
                </c:pt>
                <c:pt idx="5">
                  <c:v>8.8999999999999996E-2</c:v>
                </c:pt>
                <c:pt idx="6">
                  <c:v>0.11799999999999999</c:v>
                </c:pt>
                <c:pt idx="7">
                  <c:v>7.0999999999999994E-2</c:v>
                </c:pt>
                <c:pt idx="8">
                  <c:v>0.109</c:v>
                </c:pt>
                <c:pt idx="9" formatCode="0.00%">
                  <c:v>8.5999999999999993E-2</c:v>
                </c:pt>
              </c:numCache>
            </c:numRef>
          </c:val>
        </c:ser>
        <c:ser>
          <c:idx val="1"/>
          <c:order val="1"/>
          <c:tx>
            <c:strRef>
              <c:f>Returns!$A$3</c:f>
              <c:strCache>
                <c:ptCount val="1"/>
                <c:pt idx="0">
                  <c:v>Benchmark Return</c:v>
                </c:pt>
              </c:strCache>
            </c:strRef>
          </c:tx>
          <c:spPr>
            <a:solidFill>
              <a:schemeClr val="bg1">
                <a:lumMod val="50000"/>
              </a:schemeClr>
            </a:solidFill>
          </c:spPr>
          <c:invertIfNegative val="0"/>
          <c:cat>
            <c:numRef>
              <c:f>Returns!$E$1:$N$1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Returns!$E$3:$N$3</c:f>
              <c:numCache>
                <c:formatCode>0.0%;\(0.0\)%</c:formatCode>
                <c:ptCount val="10"/>
                <c:pt idx="0">
                  <c:v>-6.6000000000000003E-2</c:v>
                </c:pt>
                <c:pt idx="1">
                  <c:v>1.4999999999999999E-2</c:v>
                </c:pt>
                <c:pt idx="2">
                  <c:v>6.0999999999999999E-2</c:v>
                </c:pt>
                <c:pt idx="3">
                  <c:v>0.156</c:v>
                </c:pt>
                <c:pt idx="4">
                  <c:v>8.1000000000000003E-2</c:v>
                </c:pt>
                <c:pt idx="5">
                  <c:v>8.5999999999999993E-2</c:v>
                </c:pt>
                <c:pt idx="6">
                  <c:v>0.114</c:v>
                </c:pt>
                <c:pt idx="7">
                  <c:v>6.8000000000000005E-2</c:v>
                </c:pt>
                <c:pt idx="8">
                  <c:v>0.1</c:v>
                </c:pt>
                <c:pt idx="9" formatCode="0.00%">
                  <c:v>7.1999999999999995E-2</c:v>
                </c:pt>
              </c:numCache>
            </c:numRef>
          </c:val>
        </c:ser>
        <c:ser>
          <c:idx val="2"/>
          <c:order val="2"/>
          <c:tx>
            <c:strRef>
              <c:f>Returns!$A$4</c:f>
              <c:strCache>
                <c:ptCount val="1"/>
                <c:pt idx="0">
                  <c:v>Relative Return</c:v>
                </c:pt>
              </c:strCache>
            </c:strRef>
          </c:tx>
          <c:spPr>
            <a:solidFill>
              <a:srgbClr val="990033"/>
            </a:solidFill>
          </c:spPr>
          <c:invertIfNegative val="0"/>
          <c:cat>
            <c:numRef>
              <c:f>Returns!$E$1:$N$1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Returns!$E$4:$N$4</c:f>
              <c:numCache>
                <c:formatCode>0.0%;\(0.0\)%</c:formatCode>
                <c:ptCount val="10"/>
                <c:pt idx="0">
                  <c:v>-1.1999999999999997E-2</c:v>
                </c:pt>
                <c:pt idx="1">
                  <c:v>5.000000000000001E-3</c:v>
                </c:pt>
                <c:pt idx="2">
                  <c:v>9.999999999999995E-3</c:v>
                </c:pt>
                <c:pt idx="3">
                  <c:v>1.8999999999999989E-2</c:v>
                </c:pt>
                <c:pt idx="4">
                  <c:v>1.0999999999999996E-2</c:v>
                </c:pt>
                <c:pt idx="5">
                  <c:v>3.0000000000000027E-3</c:v>
                </c:pt>
                <c:pt idx="6">
                  <c:v>3.9999999999999897E-3</c:v>
                </c:pt>
                <c:pt idx="7">
                  <c:v>2.9999999999999888E-3</c:v>
                </c:pt>
                <c:pt idx="8" formatCode="0.00%">
                  <c:v>8.9999999999999993E-3</c:v>
                </c:pt>
                <c:pt idx="9" formatCode="0.00%">
                  <c:v>1.4E-2</c:v>
                </c:pt>
              </c:numCache>
            </c:numRef>
          </c:val>
        </c:ser>
        <c:dLbls>
          <c:showLegendKey val="0"/>
          <c:showVal val="0"/>
          <c:showCatName val="0"/>
          <c:showSerName val="0"/>
          <c:showPercent val="0"/>
          <c:showBubbleSize val="0"/>
        </c:dLbls>
        <c:gapWidth val="150"/>
        <c:shape val="cylinder"/>
        <c:axId val="46690304"/>
        <c:axId val="46691840"/>
        <c:axId val="0"/>
      </c:bar3DChart>
      <c:catAx>
        <c:axId val="46690304"/>
        <c:scaling>
          <c:orientation val="minMax"/>
        </c:scaling>
        <c:delete val="0"/>
        <c:axPos val="b"/>
        <c:numFmt formatCode="General" sourceLinked="1"/>
        <c:majorTickMark val="none"/>
        <c:minorTickMark val="none"/>
        <c:tickLblPos val="nextTo"/>
        <c:crossAx val="46691840"/>
        <c:crosses val="autoZero"/>
        <c:auto val="1"/>
        <c:lblAlgn val="ctr"/>
        <c:lblOffset val="100"/>
        <c:noMultiLvlLbl val="0"/>
      </c:catAx>
      <c:valAx>
        <c:axId val="46691840"/>
        <c:scaling>
          <c:orientation val="minMax"/>
        </c:scaling>
        <c:delete val="0"/>
        <c:axPos val="l"/>
        <c:majorGridlines>
          <c:spPr>
            <a:ln>
              <a:noFill/>
            </a:ln>
          </c:spPr>
        </c:majorGridlines>
        <c:title>
          <c:tx>
            <c:rich>
              <a:bodyPr/>
              <a:lstStyle/>
              <a:p>
                <a:pPr>
                  <a:defRPr/>
                </a:pPr>
                <a:r>
                  <a:rPr lang="en-GB"/>
                  <a:t>% 3 year annualised return</a:t>
                </a:r>
              </a:p>
            </c:rich>
          </c:tx>
          <c:layout>
            <c:manualLayout>
              <c:xMode val="edge"/>
              <c:yMode val="edge"/>
              <c:x val="9.8199522642751225E-2"/>
              <c:y val="0.2099231836858089"/>
            </c:manualLayout>
          </c:layout>
          <c:overlay val="0"/>
        </c:title>
        <c:numFmt formatCode="0.0%;\(0.0\)%" sourceLinked="1"/>
        <c:majorTickMark val="none"/>
        <c:minorTickMark val="none"/>
        <c:tickLblPos val="nextTo"/>
        <c:crossAx val="46690304"/>
        <c:crosses val="autoZero"/>
        <c:crossBetween val="between"/>
      </c:valAx>
      <c:dTable>
        <c:showHorzBorder val="0"/>
        <c:showVertBorder val="1"/>
        <c:showOutline val="1"/>
        <c:showKeys val="1"/>
      </c:dTable>
      <c:spPr>
        <a:noFill/>
      </c:spPr>
    </c:plotArea>
    <c:plotVisOnly val="1"/>
    <c:dispBlanksAs val="gap"/>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Membership!$B$6</c:f>
              <c:strCache>
                <c:ptCount val="1"/>
                <c:pt idx="0">
                  <c:v>Contributing</c:v>
                </c:pt>
              </c:strCache>
            </c:strRef>
          </c:tx>
          <c:spPr>
            <a:solidFill>
              <a:srgbClr val="990033"/>
            </a:solidFill>
          </c:spPr>
          <c:invertIfNegative val="0"/>
          <c:cat>
            <c:numRef>
              <c:f>Membership!$C$5:$H$5</c:f>
              <c:numCache>
                <c:formatCode>General</c:formatCode>
                <c:ptCount val="6"/>
                <c:pt idx="0">
                  <c:v>2013</c:v>
                </c:pt>
                <c:pt idx="1">
                  <c:v>2014</c:v>
                </c:pt>
                <c:pt idx="2">
                  <c:v>2015</c:v>
                </c:pt>
                <c:pt idx="3">
                  <c:v>2016</c:v>
                </c:pt>
                <c:pt idx="4">
                  <c:v>2017</c:v>
                </c:pt>
                <c:pt idx="5">
                  <c:v>2018</c:v>
                </c:pt>
              </c:numCache>
            </c:numRef>
          </c:cat>
          <c:val>
            <c:numRef>
              <c:f>Membership!$C$6:$H$6</c:f>
              <c:numCache>
                <c:formatCode>#,##0</c:formatCode>
                <c:ptCount val="6"/>
                <c:pt idx="0">
                  <c:v>4298</c:v>
                </c:pt>
                <c:pt idx="1">
                  <c:v>4366</c:v>
                </c:pt>
                <c:pt idx="2">
                  <c:v>4410</c:v>
                </c:pt>
                <c:pt idx="3">
                  <c:v>4594</c:v>
                </c:pt>
                <c:pt idx="4">
                  <c:v>4466</c:v>
                </c:pt>
                <c:pt idx="5">
                  <c:v>4409</c:v>
                </c:pt>
              </c:numCache>
            </c:numRef>
          </c:val>
        </c:ser>
        <c:ser>
          <c:idx val="1"/>
          <c:order val="1"/>
          <c:tx>
            <c:strRef>
              <c:f>Membership!$B$7</c:f>
              <c:strCache>
                <c:ptCount val="1"/>
                <c:pt idx="0">
                  <c:v>Deferred</c:v>
                </c:pt>
              </c:strCache>
            </c:strRef>
          </c:tx>
          <c:spPr>
            <a:solidFill>
              <a:schemeClr val="bg1">
                <a:lumMod val="50000"/>
              </a:schemeClr>
            </a:solidFill>
          </c:spPr>
          <c:invertIfNegative val="0"/>
          <c:cat>
            <c:numRef>
              <c:f>Membership!$C$5:$H$5</c:f>
              <c:numCache>
                <c:formatCode>General</c:formatCode>
                <c:ptCount val="6"/>
                <c:pt idx="0">
                  <c:v>2013</c:v>
                </c:pt>
                <c:pt idx="1">
                  <c:v>2014</c:v>
                </c:pt>
                <c:pt idx="2">
                  <c:v>2015</c:v>
                </c:pt>
                <c:pt idx="3">
                  <c:v>2016</c:v>
                </c:pt>
                <c:pt idx="4">
                  <c:v>2017</c:v>
                </c:pt>
                <c:pt idx="5">
                  <c:v>2018</c:v>
                </c:pt>
              </c:numCache>
            </c:numRef>
          </c:cat>
          <c:val>
            <c:numRef>
              <c:f>Membership!$C$7:$H$7</c:f>
              <c:numCache>
                <c:formatCode>#,##0</c:formatCode>
                <c:ptCount val="6"/>
                <c:pt idx="0">
                  <c:v>2242</c:v>
                </c:pt>
                <c:pt idx="1">
                  <c:v>2292</c:v>
                </c:pt>
                <c:pt idx="2">
                  <c:v>2381</c:v>
                </c:pt>
                <c:pt idx="3">
                  <c:v>2508</c:v>
                </c:pt>
                <c:pt idx="4">
                  <c:v>2652</c:v>
                </c:pt>
                <c:pt idx="5">
                  <c:v>2751</c:v>
                </c:pt>
              </c:numCache>
            </c:numRef>
          </c:val>
        </c:ser>
        <c:ser>
          <c:idx val="2"/>
          <c:order val="2"/>
          <c:tx>
            <c:strRef>
              <c:f>Membership!$B$8</c:f>
              <c:strCache>
                <c:ptCount val="1"/>
                <c:pt idx="0">
                  <c:v>Pensioners/Dependents</c:v>
                </c:pt>
              </c:strCache>
            </c:strRef>
          </c:tx>
          <c:spPr>
            <a:solidFill>
              <a:schemeClr val="bg1">
                <a:lumMod val="85000"/>
              </a:schemeClr>
            </a:solidFill>
          </c:spPr>
          <c:invertIfNegative val="0"/>
          <c:cat>
            <c:numRef>
              <c:f>Membership!$C$5:$H$5</c:f>
              <c:numCache>
                <c:formatCode>General</c:formatCode>
                <c:ptCount val="6"/>
                <c:pt idx="0">
                  <c:v>2013</c:v>
                </c:pt>
                <c:pt idx="1">
                  <c:v>2014</c:v>
                </c:pt>
                <c:pt idx="2">
                  <c:v>2015</c:v>
                </c:pt>
                <c:pt idx="3">
                  <c:v>2016</c:v>
                </c:pt>
                <c:pt idx="4">
                  <c:v>2017</c:v>
                </c:pt>
                <c:pt idx="5">
                  <c:v>2018</c:v>
                </c:pt>
              </c:numCache>
            </c:numRef>
          </c:cat>
          <c:val>
            <c:numRef>
              <c:f>Membership!$C$8:$H$8</c:f>
              <c:numCache>
                <c:formatCode>#,##0</c:formatCode>
                <c:ptCount val="6"/>
                <c:pt idx="0">
                  <c:v>2771</c:v>
                </c:pt>
                <c:pt idx="1">
                  <c:v>2898</c:v>
                </c:pt>
                <c:pt idx="2">
                  <c:v>3006</c:v>
                </c:pt>
                <c:pt idx="3">
                  <c:v>3157</c:v>
                </c:pt>
                <c:pt idx="4">
                  <c:v>3314</c:v>
                </c:pt>
                <c:pt idx="5">
                  <c:v>3507</c:v>
                </c:pt>
              </c:numCache>
            </c:numRef>
          </c:val>
        </c:ser>
        <c:dLbls>
          <c:showLegendKey val="0"/>
          <c:showVal val="0"/>
          <c:showCatName val="0"/>
          <c:showSerName val="0"/>
          <c:showPercent val="0"/>
          <c:showBubbleSize val="0"/>
        </c:dLbls>
        <c:gapWidth val="95"/>
        <c:gapDepth val="95"/>
        <c:shape val="cylinder"/>
        <c:axId val="48046848"/>
        <c:axId val="48048384"/>
        <c:axId val="0"/>
      </c:bar3DChart>
      <c:catAx>
        <c:axId val="48046848"/>
        <c:scaling>
          <c:orientation val="minMax"/>
        </c:scaling>
        <c:delete val="0"/>
        <c:axPos val="b"/>
        <c:numFmt formatCode="General" sourceLinked="1"/>
        <c:majorTickMark val="none"/>
        <c:minorTickMark val="none"/>
        <c:tickLblPos val="nextTo"/>
        <c:crossAx val="48048384"/>
        <c:crosses val="autoZero"/>
        <c:auto val="1"/>
        <c:lblAlgn val="ctr"/>
        <c:lblOffset val="100"/>
        <c:noMultiLvlLbl val="0"/>
      </c:catAx>
      <c:valAx>
        <c:axId val="48048384"/>
        <c:scaling>
          <c:orientation val="minMax"/>
        </c:scaling>
        <c:delete val="0"/>
        <c:axPos val="l"/>
        <c:majorGridlines/>
        <c:title>
          <c:tx>
            <c:rich>
              <a:bodyPr rot="-5400000" vert="horz"/>
              <a:lstStyle/>
              <a:p>
                <a:pPr>
                  <a:defRPr/>
                </a:pPr>
                <a:r>
                  <a:rPr lang="en-GB"/>
                  <a:t>Number of Members</a:t>
                </a:r>
              </a:p>
            </c:rich>
          </c:tx>
          <c:layout>
            <c:manualLayout>
              <c:xMode val="edge"/>
              <c:yMode val="edge"/>
              <c:x val="0.14615260741809666"/>
              <c:y val="0.33603001703309027"/>
            </c:manualLayout>
          </c:layout>
          <c:overlay val="0"/>
        </c:title>
        <c:numFmt formatCode="#,##0" sourceLinked="1"/>
        <c:majorTickMark val="none"/>
        <c:minorTickMark val="none"/>
        <c:tickLblPos val="nextTo"/>
        <c:crossAx val="48046848"/>
        <c:crosses val="autoZero"/>
        <c:crossBetween val="between"/>
      </c:valAx>
      <c:dTable>
        <c:showHorzBorder val="0"/>
        <c:showVertBorder val="1"/>
        <c:showOutline val="1"/>
        <c:showKeys val="1"/>
      </c:dTable>
    </c:plotArea>
    <c:plotVisOnly val="1"/>
    <c:dispBlanksAs val="gap"/>
    <c:showDLblsOverMax val="0"/>
  </c:chart>
  <c:spPr>
    <a:noFill/>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BCB29-56D6-46ED-8C67-76316E38D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6903</Words>
  <Characters>39349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2018-12-05T14:54:00Z</dcterms:created>
  <dcterms:modified xsi:type="dcterms:W3CDTF">2018-12-06T10:31:00Z</dcterms:modified>
</cp:coreProperties>
</file>