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ADC2" w14:textId="21D2CEF6" w:rsidR="00261F14" w:rsidRDefault="00261F14" w:rsidP="00C22506">
      <w:pPr>
        <w:pStyle w:val="Heading2"/>
      </w:pPr>
      <w:r w:rsidRPr="00261F14">
        <w:rPr>
          <w:b w:val="0"/>
          <w:noProof/>
          <w:sz w:val="24"/>
          <w:szCs w:val="24"/>
          <w:lang w:eastAsia="en-GB"/>
        </w:rPr>
        <mc:AlternateContent>
          <mc:Choice Requires="wps">
            <w:drawing>
              <wp:anchor distT="0" distB="0" distL="114300" distR="114300" simplePos="0" relativeHeight="251660288" behindDoc="0" locked="0" layoutInCell="1" allowOverlap="1" wp14:anchorId="68B546BC" wp14:editId="4B10309D">
                <wp:simplePos x="0" y="0"/>
                <wp:positionH relativeFrom="column">
                  <wp:posOffset>4610100</wp:posOffset>
                </wp:positionH>
                <wp:positionV relativeFrom="paragraph">
                  <wp:posOffset>-247650</wp:posOffset>
                </wp:positionV>
                <wp:extent cx="1152525" cy="8191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19150"/>
                        </a:xfrm>
                        <a:prstGeom prst="rect">
                          <a:avLst/>
                        </a:prstGeom>
                        <a:solidFill>
                          <a:srgbClr val="FFFFFF"/>
                        </a:solidFill>
                        <a:ln w="9525">
                          <a:solidFill>
                            <a:srgbClr val="000000"/>
                          </a:solidFill>
                          <a:miter lim="800000"/>
                          <a:headEnd/>
                          <a:tailEnd/>
                        </a:ln>
                      </wps:spPr>
                      <wps:txbx>
                        <w:txbxContent>
                          <w:p w14:paraId="5546AFBB" w14:textId="6513A988" w:rsidR="00F900A9" w:rsidRPr="00847762" w:rsidRDefault="00F900A9" w:rsidP="00261F14">
                            <w:pPr>
                              <w:rPr>
                                <w:rFonts w:cs="Arial"/>
                                <w:b/>
                                <w:sz w:val="32"/>
                                <w:szCs w:val="32"/>
                              </w:rPr>
                            </w:pPr>
                            <w:r w:rsidRPr="00847762">
                              <w:rPr>
                                <w:rFonts w:cs="Arial"/>
                                <w:b/>
                                <w:sz w:val="32"/>
                                <w:szCs w:val="32"/>
                              </w:rPr>
                              <w:t>Item</w:t>
                            </w:r>
                            <w:r w:rsidR="00C52268">
                              <w:rPr>
                                <w:rFonts w:cs="Arial"/>
                                <w:b/>
                                <w:sz w:val="32"/>
                                <w:szCs w:val="32"/>
                              </w:rPr>
                              <w:t xml:space="preserve"> </w:t>
                            </w:r>
                          </w:p>
                          <w:p w14:paraId="3F821F95" w14:textId="5C24B511" w:rsidR="00F900A9" w:rsidRPr="00847762" w:rsidRDefault="00F900A9" w:rsidP="00261F14">
                            <w:pPr>
                              <w:rPr>
                                <w:rFonts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546BC" id="_x0000_t202" coordsize="21600,21600" o:spt="202" path="m,l,21600r21600,l21600,xe">
                <v:stroke joinstyle="miter"/>
                <v:path gradientshapeok="t" o:connecttype="rect"/>
              </v:shapetype>
              <v:shape id="Text Box 2" o:spid="_x0000_s1026" type="#_x0000_t202" style="position:absolute;margin-left:363pt;margin-top:-19.5pt;width:90.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">
                <v:textbox>
                  <w:txbxContent>
                    <w:p w14:paraId="5546AFBB" w14:textId="6513A988" w:rsidR="00F900A9" w:rsidRPr="00847762" w:rsidRDefault="00F900A9" w:rsidP="00261F14">
                      <w:pPr>
                        <w:rPr>
                          <w:rFonts w:cs="Arial"/>
                          <w:b/>
                          <w:sz w:val="32"/>
                          <w:szCs w:val="32"/>
                        </w:rPr>
                      </w:pPr>
                      <w:r w:rsidRPr="00847762">
                        <w:rPr>
                          <w:rFonts w:cs="Arial"/>
                          <w:b/>
                          <w:sz w:val="32"/>
                          <w:szCs w:val="32"/>
                        </w:rPr>
                        <w:t>Item</w:t>
                      </w:r>
                      <w:r w:rsidR="00C52268">
                        <w:rPr>
                          <w:rFonts w:cs="Arial"/>
                          <w:b/>
                          <w:sz w:val="32"/>
                          <w:szCs w:val="32"/>
                        </w:rPr>
                        <w:t xml:space="preserve"> </w:t>
                      </w:r>
                    </w:p>
                    <w:p w14:paraId="3F821F95" w14:textId="5C24B511" w:rsidR="00F900A9" w:rsidRPr="00847762" w:rsidRDefault="00F900A9" w:rsidP="00261F14">
                      <w:pPr>
                        <w:rPr>
                          <w:rFonts w:cs="Arial"/>
                          <w:b/>
                          <w:sz w:val="20"/>
                        </w:rPr>
                      </w:pPr>
                    </w:p>
                  </w:txbxContent>
                </v:textbox>
              </v:shape>
            </w:pict>
          </mc:Fallback>
        </mc:AlternateContent>
      </w:r>
    </w:p>
    <w:p w14:paraId="4097960A" w14:textId="2F5A7109" w:rsidR="00261F14" w:rsidRPr="00261F14" w:rsidRDefault="00CF75C2" w:rsidP="00261F14">
      <w:pPr>
        <w:spacing w:after="0"/>
        <w:ind w:left="1080"/>
        <w:rPr>
          <w:b/>
          <w:sz w:val="24"/>
          <w:szCs w:val="24"/>
        </w:rPr>
      </w:pPr>
      <w:r>
        <w:rPr>
          <w:b/>
          <w:noProof/>
          <w:lang w:eastAsia="en-GB"/>
        </w:rPr>
        <w:drawing>
          <wp:anchor distT="0" distB="0" distL="114300" distR="114300" simplePos="0" relativeHeight="251662336" behindDoc="1" locked="0" layoutInCell="1" allowOverlap="0" wp14:anchorId="6CAC96D4" wp14:editId="07DC9966">
            <wp:simplePos x="0" y="0"/>
            <wp:positionH relativeFrom="column">
              <wp:posOffset>0</wp:posOffset>
            </wp:positionH>
            <wp:positionV relativeFrom="line">
              <wp:posOffset>8890</wp:posOffset>
            </wp:positionV>
            <wp:extent cx="400050" cy="688975"/>
            <wp:effectExtent l="0" t="0" r="0" b="0"/>
            <wp:wrapThrough wrapText="largest">
              <wp:wrapPolygon edited="0">
                <wp:start x="0" y="0"/>
                <wp:lineTo x="0" y="20529"/>
                <wp:lineTo x="19962" y="20529"/>
                <wp:lineTo x="1996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688975"/>
                    </a:xfrm>
                    <a:prstGeom prst="rect">
                      <a:avLst/>
                    </a:prstGeom>
                    <a:noFill/>
                  </pic:spPr>
                </pic:pic>
              </a:graphicData>
            </a:graphic>
            <wp14:sizeRelH relativeFrom="page">
              <wp14:pctWidth>0</wp14:pctWidth>
            </wp14:sizeRelH>
            <wp14:sizeRelV relativeFrom="page">
              <wp14:pctHeight>0</wp14:pctHeight>
            </wp14:sizeRelV>
          </wp:anchor>
        </w:drawing>
      </w:r>
      <w:r w:rsidR="00261F14" w:rsidRPr="00261F14">
        <w:rPr>
          <w:b/>
          <w:sz w:val="24"/>
          <w:szCs w:val="24"/>
        </w:rPr>
        <w:t>Glasgow City Council</w:t>
      </w:r>
    </w:p>
    <w:p w14:paraId="1263D560" w14:textId="77777777" w:rsidR="00261F14" w:rsidRPr="00261F14" w:rsidRDefault="00261F14" w:rsidP="00261F14">
      <w:pPr>
        <w:spacing w:after="0"/>
        <w:ind w:left="1080"/>
        <w:rPr>
          <w:sz w:val="24"/>
          <w:szCs w:val="24"/>
        </w:rPr>
      </w:pPr>
    </w:p>
    <w:p w14:paraId="1AFD9241" w14:textId="35763F0D" w:rsidR="00261F14" w:rsidRPr="00261F14" w:rsidRDefault="00C52268" w:rsidP="00261F14">
      <w:pPr>
        <w:spacing w:after="0"/>
        <w:ind w:left="1080"/>
        <w:rPr>
          <w:b/>
          <w:sz w:val="24"/>
          <w:szCs w:val="24"/>
        </w:rPr>
      </w:pPr>
      <w:r>
        <w:rPr>
          <w:b/>
          <w:sz w:val="24"/>
          <w:szCs w:val="24"/>
        </w:rPr>
        <w:t xml:space="preserve">City Administration </w:t>
      </w:r>
      <w:r w:rsidR="00261F14" w:rsidRPr="00261F14">
        <w:rPr>
          <w:b/>
          <w:sz w:val="24"/>
          <w:szCs w:val="24"/>
        </w:rPr>
        <w:t xml:space="preserve">Committee </w:t>
      </w:r>
    </w:p>
    <w:p w14:paraId="0CE07AF1" w14:textId="77777777" w:rsidR="00261F14" w:rsidRPr="00261F14" w:rsidRDefault="00261F14" w:rsidP="00261F14">
      <w:pPr>
        <w:spacing w:after="0"/>
        <w:ind w:left="1080"/>
        <w:rPr>
          <w:sz w:val="24"/>
          <w:szCs w:val="24"/>
        </w:rPr>
      </w:pPr>
    </w:p>
    <w:p w14:paraId="1AD9334A" w14:textId="0BFFB882" w:rsidR="00261F14" w:rsidRPr="00261F14" w:rsidRDefault="00261F14" w:rsidP="00261F14">
      <w:pPr>
        <w:spacing w:after="0"/>
        <w:ind w:left="1080"/>
        <w:rPr>
          <w:b/>
          <w:sz w:val="24"/>
          <w:szCs w:val="24"/>
        </w:rPr>
      </w:pPr>
      <w:r w:rsidRPr="00261F14">
        <w:rPr>
          <w:b/>
          <w:sz w:val="24"/>
          <w:szCs w:val="24"/>
        </w:rPr>
        <w:t xml:space="preserve">Report by </w:t>
      </w:r>
      <w:r w:rsidR="00C52268">
        <w:rPr>
          <w:b/>
          <w:sz w:val="24"/>
          <w:szCs w:val="24"/>
        </w:rPr>
        <w:t xml:space="preserve">Executive </w:t>
      </w:r>
      <w:r w:rsidRPr="00261F14">
        <w:rPr>
          <w:b/>
          <w:sz w:val="24"/>
          <w:szCs w:val="24"/>
        </w:rPr>
        <w:t>Dire</w:t>
      </w:r>
      <w:r w:rsidR="00C52268">
        <w:rPr>
          <w:b/>
          <w:sz w:val="24"/>
          <w:szCs w:val="24"/>
        </w:rPr>
        <w:t>ctor of Finance</w:t>
      </w:r>
    </w:p>
    <w:p w14:paraId="19915927" w14:textId="77777777" w:rsidR="00261F14" w:rsidRPr="00261F14" w:rsidRDefault="00261F14" w:rsidP="00261F14">
      <w:pPr>
        <w:spacing w:after="0"/>
        <w:ind w:left="1080"/>
        <w:rPr>
          <w:sz w:val="24"/>
          <w:szCs w:val="24"/>
        </w:rPr>
      </w:pPr>
    </w:p>
    <w:p w14:paraId="7815FAA4" w14:textId="238BBDE4" w:rsidR="00261F14" w:rsidRPr="00261F14" w:rsidRDefault="00261F14" w:rsidP="00261F14">
      <w:pPr>
        <w:spacing w:after="0"/>
        <w:ind w:left="1080"/>
        <w:rPr>
          <w:sz w:val="24"/>
          <w:szCs w:val="24"/>
        </w:rPr>
      </w:pPr>
      <w:r w:rsidRPr="00261F14">
        <w:rPr>
          <w:b/>
          <w:sz w:val="24"/>
          <w:szCs w:val="24"/>
        </w:rPr>
        <w:t>Contact</w:t>
      </w:r>
      <w:r w:rsidR="00C52268">
        <w:rPr>
          <w:b/>
          <w:sz w:val="24"/>
          <w:szCs w:val="24"/>
        </w:rPr>
        <w:t>:  Martin Booth,  Ext:  73837</w:t>
      </w:r>
    </w:p>
    <w:p w14:paraId="7E3D5EBC" w14:textId="77777777" w:rsidR="00261F14" w:rsidRPr="00261F14" w:rsidRDefault="00261F14" w:rsidP="00261F14">
      <w:pPr>
        <w:spacing w:after="0"/>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4627"/>
      </w:tblGrid>
      <w:tr w:rsidR="00261F14" w:rsidRPr="00261F14" w14:paraId="3D42A587" w14:textId="77777777" w:rsidTr="00CF75C2">
        <w:tc>
          <w:tcPr>
            <w:tcW w:w="9072" w:type="dxa"/>
            <w:gridSpan w:val="2"/>
            <w:tcBorders>
              <w:bottom w:val="single" w:sz="4" w:space="0" w:color="auto"/>
            </w:tcBorders>
          </w:tcPr>
          <w:p w14:paraId="228E1D21" w14:textId="77777777" w:rsidR="00261F14" w:rsidRPr="00261F14" w:rsidRDefault="00261F14" w:rsidP="00261F14">
            <w:pPr>
              <w:spacing w:after="0"/>
              <w:jc w:val="center"/>
              <w:rPr>
                <w:sz w:val="24"/>
                <w:szCs w:val="24"/>
              </w:rPr>
            </w:pPr>
          </w:p>
          <w:p w14:paraId="31BD3DBD" w14:textId="40880802" w:rsidR="00261F14" w:rsidRDefault="00261F14" w:rsidP="00261F14">
            <w:pPr>
              <w:spacing w:after="0"/>
              <w:jc w:val="center"/>
              <w:rPr>
                <w:b/>
                <w:sz w:val="24"/>
                <w:szCs w:val="24"/>
              </w:rPr>
            </w:pPr>
            <w:r>
              <w:rPr>
                <w:b/>
                <w:sz w:val="24"/>
                <w:szCs w:val="24"/>
              </w:rPr>
              <w:t>Review of the Structure of the Scottish Local Government Pension Scheme:</w:t>
            </w:r>
          </w:p>
          <w:p w14:paraId="41004F35" w14:textId="5A9FD3AA" w:rsidR="00261F14" w:rsidRPr="00261F14" w:rsidRDefault="00261F14" w:rsidP="00261F14">
            <w:pPr>
              <w:spacing w:after="0"/>
              <w:jc w:val="center"/>
              <w:rPr>
                <w:b/>
                <w:sz w:val="24"/>
                <w:szCs w:val="24"/>
              </w:rPr>
            </w:pPr>
            <w:r>
              <w:rPr>
                <w:b/>
                <w:sz w:val="24"/>
                <w:szCs w:val="24"/>
              </w:rPr>
              <w:t xml:space="preserve">Draft Response by Glasgow City Council (as Administering Authority for the Strathclyde Pension Fund) </w:t>
            </w:r>
          </w:p>
          <w:p w14:paraId="43EB8463" w14:textId="77777777" w:rsidR="00261F14" w:rsidRPr="00261F14" w:rsidRDefault="00261F14" w:rsidP="00261F14">
            <w:pPr>
              <w:spacing w:after="0"/>
              <w:jc w:val="center"/>
              <w:rPr>
                <w:sz w:val="24"/>
                <w:szCs w:val="24"/>
              </w:rPr>
            </w:pPr>
          </w:p>
        </w:tc>
      </w:tr>
      <w:tr w:rsidR="00261F14" w:rsidRPr="00261F14" w14:paraId="3CD7455D" w14:textId="77777777" w:rsidTr="00CF75C2">
        <w:tc>
          <w:tcPr>
            <w:tcW w:w="9072" w:type="dxa"/>
            <w:gridSpan w:val="2"/>
            <w:tcBorders>
              <w:left w:val="nil"/>
              <w:right w:val="nil"/>
            </w:tcBorders>
          </w:tcPr>
          <w:p w14:paraId="40D50489" w14:textId="77777777" w:rsidR="00261F14" w:rsidRPr="00261F14" w:rsidRDefault="00261F14" w:rsidP="00261F14">
            <w:pPr>
              <w:spacing w:after="0"/>
              <w:rPr>
                <w:sz w:val="24"/>
                <w:szCs w:val="24"/>
              </w:rPr>
            </w:pPr>
          </w:p>
          <w:p w14:paraId="0F18934A" w14:textId="77777777" w:rsidR="00261F14" w:rsidRPr="00261F14" w:rsidRDefault="00261F14" w:rsidP="00261F14">
            <w:pPr>
              <w:spacing w:after="0"/>
              <w:rPr>
                <w:sz w:val="24"/>
                <w:szCs w:val="24"/>
              </w:rPr>
            </w:pPr>
          </w:p>
        </w:tc>
      </w:tr>
      <w:tr w:rsidR="00261F14" w:rsidRPr="00261F14" w14:paraId="732BF86B" w14:textId="77777777" w:rsidTr="00CF75C2">
        <w:tc>
          <w:tcPr>
            <w:tcW w:w="9072" w:type="dxa"/>
            <w:gridSpan w:val="2"/>
            <w:tcBorders>
              <w:bottom w:val="single" w:sz="4" w:space="0" w:color="auto"/>
            </w:tcBorders>
          </w:tcPr>
          <w:p w14:paraId="1D4FAAEB" w14:textId="77777777" w:rsidR="00261F14" w:rsidRPr="00261F14" w:rsidRDefault="00261F14" w:rsidP="00261F14">
            <w:pPr>
              <w:spacing w:after="0"/>
              <w:rPr>
                <w:b/>
                <w:sz w:val="24"/>
                <w:szCs w:val="24"/>
              </w:rPr>
            </w:pPr>
            <w:r w:rsidRPr="00261F14">
              <w:rPr>
                <w:b/>
                <w:sz w:val="24"/>
                <w:szCs w:val="24"/>
              </w:rPr>
              <w:t>Purpose of Report:</w:t>
            </w:r>
          </w:p>
          <w:p w14:paraId="145CB88A" w14:textId="77777777" w:rsidR="00261F14" w:rsidRPr="00261F14" w:rsidRDefault="00261F14" w:rsidP="00261F14">
            <w:pPr>
              <w:spacing w:after="0"/>
              <w:rPr>
                <w:sz w:val="24"/>
                <w:szCs w:val="24"/>
              </w:rPr>
            </w:pPr>
          </w:p>
          <w:p w14:paraId="44203E54" w14:textId="26C56B1F" w:rsidR="00261F14" w:rsidRPr="00261F14" w:rsidRDefault="00261F14" w:rsidP="00261F14">
            <w:pPr>
              <w:spacing w:after="0"/>
              <w:rPr>
                <w:sz w:val="24"/>
                <w:szCs w:val="24"/>
              </w:rPr>
            </w:pPr>
            <w:r w:rsidRPr="00261F14">
              <w:rPr>
                <w:rFonts w:cs="Arial"/>
                <w:sz w:val="24"/>
                <w:szCs w:val="24"/>
                <w:lang w:val="en-US"/>
              </w:rPr>
              <w:t xml:space="preserve">To provide a </w:t>
            </w:r>
            <w:r>
              <w:rPr>
                <w:rFonts w:cs="Arial"/>
                <w:sz w:val="24"/>
                <w:szCs w:val="24"/>
                <w:lang w:val="en-US"/>
              </w:rPr>
              <w:t xml:space="preserve">draft response to a review being carried out by the Pensions Institute on behalf of </w:t>
            </w:r>
            <w:r w:rsidRPr="00261F14">
              <w:rPr>
                <w:rFonts w:cs="Arial"/>
                <w:sz w:val="24"/>
                <w:szCs w:val="24"/>
                <w:lang w:val="en-US"/>
              </w:rPr>
              <w:t xml:space="preserve">the </w:t>
            </w:r>
            <w:r w:rsidRPr="00261F14">
              <w:rPr>
                <w:rFonts w:cs="Arial"/>
                <w:sz w:val="24"/>
                <w:szCs w:val="24"/>
              </w:rPr>
              <w:t>Scottish Local Government Pension Scheme</w:t>
            </w:r>
            <w:r>
              <w:rPr>
                <w:rFonts w:cs="Arial"/>
                <w:sz w:val="24"/>
                <w:szCs w:val="24"/>
              </w:rPr>
              <w:t xml:space="preserve"> Advisory Board</w:t>
            </w:r>
            <w:r w:rsidRPr="00261F14">
              <w:rPr>
                <w:rFonts w:cs="Arial"/>
                <w:sz w:val="24"/>
                <w:szCs w:val="24"/>
              </w:rPr>
              <w:t>.</w:t>
            </w:r>
          </w:p>
          <w:p w14:paraId="2403FF33" w14:textId="77777777" w:rsidR="00261F14" w:rsidRPr="00261F14" w:rsidRDefault="00261F14" w:rsidP="00261F14">
            <w:pPr>
              <w:spacing w:after="0"/>
              <w:rPr>
                <w:sz w:val="24"/>
                <w:szCs w:val="24"/>
              </w:rPr>
            </w:pPr>
          </w:p>
          <w:p w14:paraId="48620378" w14:textId="77777777" w:rsidR="00261F14" w:rsidRPr="00261F14" w:rsidRDefault="00261F14" w:rsidP="00261F14">
            <w:pPr>
              <w:spacing w:after="0"/>
              <w:rPr>
                <w:sz w:val="24"/>
                <w:szCs w:val="24"/>
              </w:rPr>
            </w:pPr>
          </w:p>
        </w:tc>
      </w:tr>
      <w:tr w:rsidR="00261F14" w:rsidRPr="00261F14" w14:paraId="01C74D04" w14:textId="77777777" w:rsidTr="00CF75C2">
        <w:tc>
          <w:tcPr>
            <w:tcW w:w="9072" w:type="dxa"/>
            <w:gridSpan w:val="2"/>
            <w:tcBorders>
              <w:left w:val="nil"/>
              <w:right w:val="nil"/>
            </w:tcBorders>
          </w:tcPr>
          <w:p w14:paraId="78E61B4D" w14:textId="77777777" w:rsidR="00261F14" w:rsidRPr="00261F14" w:rsidRDefault="00261F14" w:rsidP="00261F14">
            <w:pPr>
              <w:spacing w:after="0"/>
              <w:rPr>
                <w:sz w:val="24"/>
                <w:szCs w:val="24"/>
              </w:rPr>
            </w:pPr>
          </w:p>
          <w:p w14:paraId="09F47208" w14:textId="77777777" w:rsidR="00261F14" w:rsidRPr="00261F14" w:rsidRDefault="00261F14" w:rsidP="00261F14">
            <w:pPr>
              <w:spacing w:after="0"/>
              <w:rPr>
                <w:sz w:val="24"/>
                <w:szCs w:val="24"/>
              </w:rPr>
            </w:pPr>
          </w:p>
        </w:tc>
      </w:tr>
      <w:tr w:rsidR="00261F14" w:rsidRPr="00261F14" w14:paraId="2538E444" w14:textId="77777777" w:rsidTr="00CF75C2">
        <w:tc>
          <w:tcPr>
            <w:tcW w:w="9072" w:type="dxa"/>
            <w:gridSpan w:val="2"/>
            <w:tcBorders>
              <w:bottom w:val="single" w:sz="4" w:space="0" w:color="auto"/>
            </w:tcBorders>
          </w:tcPr>
          <w:p w14:paraId="626866BD" w14:textId="77777777" w:rsidR="00261F14" w:rsidRPr="00261F14" w:rsidRDefault="00261F14" w:rsidP="00261F14">
            <w:pPr>
              <w:spacing w:after="0"/>
              <w:rPr>
                <w:b/>
                <w:sz w:val="24"/>
                <w:szCs w:val="24"/>
              </w:rPr>
            </w:pPr>
            <w:r w:rsidRPr="00261F14">
              <w:rPr>
                <w:b/>
                <w:sz w:val="24"/>
                <w:szCs w:val="24"/>
              </w:rPr>
              <w:t>Recommendations:</w:t>
            </w:r>
          </w:p>
          <w:p w14:paraId="5A3A5B64" w14:textId="77777777" w:rsidR="00261F14" w:rsidRPr="00261F14" w:rsidRDefault="00261F14" w:rsidP="00261F14">
            <w:pPr>
              <w:spacing w:after="0"/>
              <w:rPr>
                <w:sz w:val="24"/>
                <w:szCs w:val="24"/>
              </w:rPr>
            </w:pPr>
          </w:p>
          <w:p w14:paraId="3DAC6AA2" w14:textId="7EA438B1" w:rsidR="006C41F5" w:rsidRPr="0008758B" w:rsidRDefault="0008758B" w:rsidP="00C52268">
            <w:pPr>
              <w:spacing w:after="0"/>
              <w:rPr>
                <w:rFonts w:cs="Arial"/>
                <w:sz w:val="24"/>
                <w:szCs w:val="24"/>
                <w:lang w:val="en-US"/>
              </w:rPr>
            </w:pPr>
            <w:r w:rsidRPr="0008758B">
              <w:rPr>
                <w:rFonts w:cs="Arial"/>
                <w:sz w:val="24"/>
                <w:szCs w:val="24"/>
                <w:lang w:val="en-US"/>
              </w:rPr>
              <w:t>The Committee is asked:</w:t>
            </w:r>
          </w:p>
          <w:p w14:paraId="1A839009" w14:textId="6FDBE487" w:rsidR="006C41F5" w:rsidRPr="0008758B" w:rsidRDefault="0008758B" w:rsidP="0008758B">
            <w:pPr>
              <w:numPr>
                <w:ilvl w:val="0"/>
                <w:numId w:val="42"/>
              </w:numPr>
              <w:spacing w:after="0"/>
              <w:rPr>
                <w:rFonts w:cs="Arial"/>
                <w:sz w:val="24"/>
                <w:szCs w:val="24"/>
                <w:lang w:val="en-US"/>
              </w:rPr>
            </w:pPr>
            <w:r w:rsidRPr="0008758B">
              <w:rPr>
                <w:rFonts w:cs="Arial"/>
                <w:b/>
                <w:sz w:val="24"/>
                <w:szCs w:val="24"/>
                <w:lang w:val="en-US"/>
              </w:rPr>
              <w:t>t</w:t>
            </w:r>
            <w:r w:rsidR="006C41F5" w:rsidRPr="0008758B">
              <w:rPr>
                <w:rFonts w:cs="Arial"/>
                <w:b/>
                <w:sz w:val="24"/>
                <w:szCs w:val="24"/>
                <w:lang w:val="en-US"/>
              </w:rPr>
              <w:t xml:space="preserve">o </w:t>
            </w:r>
            <w:r w:rsidRPr="0008758B">
              <w:rPr>
                <w:rFonts w:cs="Arial"/>
                <w:b/>
                <w:sz w:val="24"/>
                <w:szCs w:val="24"/>
                <w:lang w:val="en-US"/>
              </w:rPr>
              <w:t>CONSIDER</w:t>
            </w:r>
            <w:r>
              <w:rPr>
                <w:rFonts w:cs="Arial"/>
                <w:sz w:val="24"/>
                <w:szCs w:val="24"/>
                <w:lang w:val="en-US"/>
              </w:rPr>
              <w:t xml:space="preserve"> </w:t>
            </w:r>
            <w:r w:rsidR="006C41F5" w:rsidRPr="0008758B">
              <w:rPr>
                <w:rFonts w:cs="Arial"/>
                <w:sz w:val="24"/>
                <w:szCs w:val="24"/>
                <w:lang w:val="en-US"/>
              </w:rPr>
              <w:t xml:space="preserve">and </w:t>
            </w:r>
            <w:r w:rsidRPr="0008758B">
              <w:rPr>
                <w:rFonts w:cs="Arial"/>
                <w:b/>
                <w:sz w:val="24"/>
                <w:szCs w:val="24"/>
                <w:lang w:val="en-US"/>
              </w:rPr>
              <w:t>COMMENT</w:t>
            </w:r>
            <w:r>
              <w:rPr>
                <w:rFonts w:cs="Arial"/>
                <w:sz w:val="24"/>
                <w:szCs w:val="24"/>
                <w:lang w:val="en-US"/>
              </w:rPr>
              <w:t xml:space="preserve"> on </w:t>
            </w:r>
            <w:r w:rsidR="006C41F5" w:rsidRPr="0008758B">
              <w:rPr>
                <w:rFonts w:cs="Arial"/>
                <w:sz w:val="24"/>
                <w:szCs w:val="24"/>
                <w:lang w:val="en-US"/>
              </w:rPr>
              <w:t xml:space="preserve">the draft </w:t>
            </w:r>
            <w:r w:rsidRPr="0008758B">
              <w:rPr>
                <w:rFonts w:cs="Arial"/>
                <w:sz w:val="24"/>
                <w:szCs w:val="24"/>
                <w:lang w:val="en-US"/>
              </w:rPr>
              <w:t xml:space="preserve">response attached at Appendix A; </w:t>
            </w:r>
            <w:r w:rsidR="006C41F5" w:rsidRPr="0008758B">
              <w:rPr>
                <w:rFonts w:cs="Arial"/>
                <w:sz w:val="24"/>
                <w:szCs w:val="24"/>
                <w:lang w:val="en-US"/>
              </w:rPr>
              <w:t>and</w:t>
            </w:r>
          </w:p>
          <w:p w14:paraId="4439722D" w14:textId="4C05A9F1" w:rsidR="006C41F5" w:rsidRPr="0008758B" w:rsidRDefault="0008758B" w:rsidP="0008758B">
            <w:pPr>
              <w:numPr>
                <w:ilvl w:val="0"/>
                <w:numId w:val="42"/>
              </w:numPr>
              <w:spacing w:after="0"/>
              <w:rPr>
                <w:rFonts w:cs="Arial"/>
                <w:sz w:val="24"/>
                <w:szCs w:val="24"/>
                <w:lang w:val="en-US"/>
              </w:rPr>
            </w:pPr>
            <w:r w:rsidRPr="0008758B">
              <w:rPr>
                <w:rFonts w:cs="Arial"/>
                <w:b/>
                <w:sz w:val="24"/>
                <w:szCs w:val="24"/>
                <w:lang w:val="en-US"/>
              </w:rPr>
              <w:t>t</w:t>
            </w:r>
            <w:r w:rsidR="006C41F5" w:rsidRPr="0008758B">
              <w:rPr>
                <w:rFonts w:cs="Arial"/>
                <w:b/>
                <w:sz w:val="24"/>
                <w:szCs w:val="24"/>
                <w:lang w:val="en-US"/>
              </w:rPr>
              <w:t xml:space="preserve">o </w:t>
            </w:r>
            <w:r w:rsidRPr="0008758B">
              <w:rPr>
                <w:rFonts w:cs="Arial"/>
                <w:b/>
                <w:sz w:val="24"/>
                <w:szCs w:val="24"/>
                <w:lang w:val="en-US"/>
              </w:rPr>
              <w:t>APPROVE</w:t>
            </w:r>
            <w:r>
              <w:rPr>
                <w:rFonts w:cs="Arial"/>
                <w:sz w:val="24"/>
                <w:szCs w:val="24"/>
                <w:lang w:val="en-US"/>
              </w:rPr>
              <w:t xml:space="preserve"> </w:t>
            </w:r>
            <w:r w:rsidRPr="0008758B">
              <w:rPr>
                <w:rFonts w:cs="Arial"/>
                <w:sz w:val="24"/>
                <w:szCs w:val="24"/>
                <w:lang w:val="en-US"/>
              </w:rPr>
              <w:t>th</w:t>
            </w:r>
            <w:r>
              <w:rPr>
                <w:rFonts w:cs="Arial"/>
                <w:sz w:val="24"/>
                <w:szCs w:val="24"/>
                <w:lang w:val="en-US"/>
              </w:rPr>
              <w:t>e</w:t>
            </w:r>
            <w:r w:rsidR="00C52268">
              <w:rPr>
                <w:rFonts w:cs="Arial"/>
                <w:sz w:val="24"/>
                <w:szCs w:val="24"/>
                <w:lang w:val="en-US"/>
              </w:rPr>
              <w:t xml:space="preserve"> draft for submission</w:t>
            </w:r>
            <w:r w:rsidRPr="0008758B">
              <w:rPr>
                <w:rFonts w:cs="Arial"/>
                <w:sz w:val="24"/>
                <w:szCs w:val="24"/>
                <w:lang w:val="en-US"/>
              </w:rPr>
              <w:t>.</w:t>
            </w:r>
          </w:p>
          <w:p w14:paraId="0BD0F967" w14:textId="06B4580B" w:rsidR="00261F14" w:rsidRPr="00261F14" w:rsidRDefault="00261F14" w:rsidP="00261F14">
            <w:pPr>
              <w:spacing w:after="0"/>
              <w:rPr>
                <w:sz w:val="24"/>
                <w:szCs w:val="24"/>
              </w:rPr>
            </w:pPr>
          </w:p>
          <w:p w14:paraId="6AFC915F" w14:textId="77777777" w:rsidR="00261F14" w:rsidRPr="00261F14" w:rsidRDefault="00261F14" w:rsidP="00261F14">
            <w:pPr>
              <w:spacing w:after="0"/>
              <w:rPr>
                <w:sz w:val="24"/>
                <w:szCs w:val="24"/>
              </w:rPr>
            </w:pPr>
          </w:p>
          <w:p w14:paraId="7661E91D" w14:textId="77777777" w:rsidR="00261F14" w:rsidRPr="00261F14" w:rsidRDefault="00261F14" w:rsidP="00261F14">
            <w:pPr>
              <w:spacing w:after="0"/>
              <w:rPr>
                <w:sz w:val="24"/>
                <w:szCs w:val="24"/>
              </w:rPr>
            </w:pPr>
          </w:p>
        </w:tc>
      </w:tr>
      <w:tr w:rsidR="00261F14" w:rsidRPr="00261F14" w14:paraId="75C0C7BD" w14:textId="77777777" w:rsidTr="00CF75C2">
        <w:tc>
          <w:tcPr>
            <w:tcW w:w="9072" w:type="dxa"/>
            <w:gridSpan w:val="2"/>
            <w:tcBorders>
              <w:left w:val="nil"/>
              <w:right w:val="nil"/>
            </w:tcBorders>
          </w:tcPr>
          <w:p w14:paraId="2E698C51" w14:textId="77777777" w:rsidR="00261F14" w:rsidRPr="00261F14" w:rsidRDefault="00261F14" w:rsidP="00261F14">
            <w:pPr>
              <w:spacing w:after="0"/>
              <w:rPr>
                <w:sz w:val="24"/>
                <w:szCs w:val="24"/>
              </w:rPr>
            </w:pPr>
          </w:p>
          <w:p w14:paraId="2238BD3E" w14:textId="77777777" w:rsidR="00261F14" w:rsidRPr="00261F14" w:rsidRDefault="00261F14" w:rsidP="00261F14">
            <w:pPr>
              <w:spacing w:after="0"/>
              <w:rPr>
                <w:sz w:val="24"/>
                <w:szCs w:val="24"/>
              </w:rPr>
            </w:pPr>
          </w:p>
        </w:tc>
      </w:tr>
      <w:tr w:rsidR="00261F14" w:rsidRPr="00261F14" w14:paraId="0E0CD222" w14:textId="77777777" w:rsidTr="00CF75C2">
        <w:tc>
          <w:tcPr>
            <w:tcW w:w="4445" w:type="dxa"/>
            <w:tcBorders>
              <w:right w:val="nil"/>
            </w:tcBorders>
          </w:tcPr>
          <w:p w14:paraId="5C956E2B" w14:textId="77777777" w:rsidR="00261F14" w:rsidRPr="00261F14" w:rsidRDefault="00261F14" w:rsidP="00261F14">
            <w:pPr>
              <w:spacing w:after="0"/>
              <w:rPr>
                <w:sz w:val="24"/>
                <w:szCs w:val="24"/>
              </w:rPr>
            </w:pPr>
            <w:r w:rsidRPr="00261F14">
              <w:rPr>
                <w:sz w:val="24"/>
                <w:szCs w:val="24"/>
              </w:rPr>
              <w:t xml:space="preserve">Ward No(s):  </w:t>
            </w:r>
            <w:r w:rsidRPr="00261F14">
              <w:rPr>
                <w:sz w:val="24"/>
                <w:szCs w:val="24"/>
              </w:rPr>
              <w:fldChar w:fldCharType="begin"/>
            </w:r>
            <w:r w:rsidRPr="00261F14">
              <w:rPr>
                <w:sz w:val="24"/>
                <w:szCs w:val="24"/>
              </w:rPr>
              <w:instrText xml:space="preserve"> FILLIN "Enter Ward No(s)" \* MERGEFORMAT </w:instrText>
            </w:r>
            <w:r w:rsidRPr="00261F14">
              <w:rPr>
                <w:sz w:val="24"/>
                <w:szCs w:val="24"/>
              </w:rPr>
              <w:fldChar w:fldCharType="end"/>
            </w:r>
          </w:p>
          <w:p w14:paraId="6BB04727" w14:textId="77777777" w:rsidR="00261F14" w:rsidRPr="00261F14" w:rsidRDefault="00261F14" w:rsidP="00261F14">
            <w:pPr>
              <w:spacing w:after="0"/>
              <w:rPr>
                <w:sz w:val="24"/>
                <w:szCs w:val="24"/>
              </w:rPr>
            </w:pPr>
          </w:p>
          <w:p w14:paraId="64A693B5" w14:textId="77777777" w:rsidR="00261F14" w:rsidRPr="00261F14" w:rsidRDefault="00261F14" w:rsidP="00261F14">
            <w:pPr>
              <w:spacing w:after="0"/>
              <w:rPr>
                <w:sz w:val="24"/>
                <w:szCs w:val="24"/>
              </w:rPr>
            </w:pPr>
            <w:r w:rsidRPr="00261F14">
              <w:rPr>
                <w:sz w:val="24"/>
                <w:szCs w:val="24"/>
              </w:rPr>
              <w:t xml:space="preserve">Local member(s) advised: Yes </w:t>
            </w:r>
            <w:r w:rsidRPr="00261F14">
              <w:rPr>
                <w:sz w:val="24"/>
                <w:szCs w:val="24"/>
              </w:rPr>
              <w:sym w:font="Wingdings" w:char="F06F"/>
            </w:r>
            <w:r w:rsidRPr="00261F14">
              <w:rPr>
                <w:sz w:val="24"/>
                <w:szCs w:val="24"/>
              </w:rPr>
              <w:t xml:space="preserve"> No </w:t>
            </w:r>
            <w:r w:rsidRPr="00261F14">
              <w:rPr>
                <w:sz w:val="24"/>
                <w:szCs w:val="24"/>
              </w:rPr>
              <w:sym w:font="Wingdings" w:char="F06F"/>
            </w:r>
          </w:p>
          <w:p w14:paraId="657D805C" w14:textId="77777777" w:rsidR="00261F14" w:rsidRPr="00261F14" w:rsidRDefault="00261F14" w:rsidP="00261F14">
            <w:pPr>
              <w:spacing w:after="0"/>
              <w:rPr>
                <w:sz w:val="24"/>
                <w:szCs w:val="24"/>
              </w:rPr>
            </w:pPr>
          </w:p>
        </w:tc>
        <w:tc>
          <w:tcPr>
            <w:tcW w:w="4627" w:type="dxa"/>
            <w:tcBorders>
              <w:left w:val="nil"/>
            </w:tcBorders>
          </w:tcPr>
          <w:p w14:paraId="1AB2420F" w14:textId="77777777" w:rsidR="00261F14" w:rsidRPr="00261F14" w:rsidRDefault="00261F14" w:rsidP="00261F14">
            <w:pPr>
              <w:spacing w:after="0"/>
              <w:rPr>
                <w:sz w:val="24"/>
                <w:szCs w:val="24"/>
              </w:rPr>
            </w:pPr>
          </w:p>
          <w:p w14:paraId="439CFDDC" w14:textId="77777777" w:rsidR="00261F14" w:rsidRPr="00261F14" w:rsidRDefault="00261F14" w:rsidP="00261F14">
            <w:pPr>
              <w:spacing w:after="0"/>
              <w:rPr>
                <w:sz w:val="24"/>
                <w:szCs w:val="24"/>
              </w:rPr>
            </w:pPr>
            <w:r w:rsidRPr="00261F14">
              <w:rPr>
                <w:sz w:val="24"/>
                <w:szCs w:val="24"/>
              </w:rPr>
              <w:t xml:space="preserve">Citywide:  </w:t>
            </w:r>
            <w:r w:rsidRPr="00261F14">
              <w:rPr>
                <w:sz w:val="24"/>
                <w:szCs w:val="24"/>
              </w:rPr>
              <w:sym w:font="Wingdings" w:char="F0FC"/>
            </w:r>
          </w:p>
          <w:p w14:paraId="78C3B48A" w14:textId="77777777" w:rsidR="00261F14" w:rsidRPr="00261F14" w:rsidRDefault="00261F14" w:rsidP="00261F14">
            <w:pPr>
              <w:spacing w:after="0"/>
              <w:rPr>
                <w:sz w:val="24"/>
                <w:szCs w:val="24"/>
              </w:rPr>
            </w:pPr>
          </w:p>
          <w:p w14:paraId="06F20740" w14:textId="77777777" w:rsidR="00261F14" w:rsidRPr="00261F14" w:rsidRDefault="00261F14" w:rsidP="00261F14">
            <w:pPr>
              <w:spacing w:after="0"/>
              <w:rPr>
                <w:sz w:val="24"/>
                <w:szCs w:val="24"/>
              </w:rPr>
            </w:pPr>
            <w:r w:rsidRPr="00261F14">
              <w:rPr>
                <w:sz w:val="24"/>
                <w:szCs w:val="24"/>
              </w:rPr>
              <w:t xml:space="preserve">consulted: Yes </w:t>
            </w:r>
            <w:r w:rsidRPr="00261F14">
              <w:rPr>
                <w:sz w:val="24"/>
                <w:szCs w:val="24"/>
              </w:rPr>
              <w:sym w:font="Wingdings" w:char="F06F"/>
            </w:r>
            <w:r w:rsidRPr="00261F14">
              <w:rPr>
                <w:sz w:val="24"/>
                <w:szCs w:val="24"/>
              </w:rPr>
              <w:t xml:space="preserve">  No </w:t>
            </w:r>
            <w:r w:rsidRPr="00261F14">
              <w:rPr>
                <w:sz w:val="24"/>
                <w:szCs w:val="24"/>
              </w:rPr>
              <w:sym w:font="Wingdings" w:char="F06F"/>
            </w:r>
          </w:p>
        </w:tc>
      </w:tr>
    </w:tbl>
    <w:p w14:paraId="1CE61874" w14:textId="77777777" w:rsidR="00261F14" w:rsidRPr="00261F14" w:rsidRDefault="00261F14" w:rsidP="00261F14">
      <w:pPr>
        <w:spacing w:after="0"/>
        <w:rPr>
          <w:sz w:val="22"/>
          <w:szCs w:val="24"/>
        </w:rPr>
      </w:pPr>
    </w:p>
    <w:p w14:paraId="54DB7CCB" w14:textId="77777777" w:rsidR="00CF75C2" w:rsidRDefault="00CF75C2" w:rsidP="00CF75C2">
      <w:pPr>
        <w:pBdr>
          <w:top w:val="single" w:sz="4" w:space="1" w:color="auto"/>
          <w:left w:val="single" w:sz="4" w:space="2" w:color="auto"/>
          <w:bottom w:val="single" w:sz="4" w:space="1" w:color="auto"/>
          <w:right w:val="single" w:sz="4" w:space="4" w:color="auto"/>
        </w:pBdr>
        <w:jc w:val="both"/>
        <w:rPr>
          <w:i/>
          <w:sz w:val="16"/>
        </w:rPr>
      </w:pPr>
      <w:r>
        <w:rPr>
          <w:b/>
          <w:i/>
          <w:sz w:val="16"/>
        </w:rPr>
        <w:t>PLEASE NOTE THE FOLLOWING</w:t>
      </w:r>
      <w:r>
        <w:rPr>
          <w:i/>
          <w:sz w:val="16"/>
        </w:rPr>
        <w:t>:</w:t>
      </w:r>
    </w:p>
    <w:p w14:paraId="034F48E6" w14:textId="77777777" w:rsidR="00CF75C2" w:rsidRDefault="00CF75C2" w:rsidP="00CF75C2">
      <w:pPr>
        <w:pBdr>
          <w:top w:val="single" w:sz="4" w:space="1" w:color="auto"/>
          <w:left w:val="single" w:sz="4" w:space="2" w:color="auto"/>
          <w:bottom w:val="single" w:sz="4" w:space="1" w:color="auto"/>
          <w:right w:val="single" w:sz="4" w:space="4" w:color="auto"/>
        </w:pBdr>
        <w:autoSpaceDE w:val="0"/>
        <w:autoSpaceDN w:val="0"/>
        <w:adjustRightInd w:val="0"/>
        <w:spacing w:before="100" w:after="100"/>
        <w:rPr>
          <w:i/>
          <w:sz w:val="16"/>
        </w:rPr>
      </w:pPr>
      <w:r>
        <w:rPr>
          <w:i/>
          <w:sz w:val="16"/>
        </w:rPr>
        <w:t xml:space="preserve">Any Ordnance Survey mapping included within this Report is provided by </w:t>
      </w:r>
      <w:smartTag w:uri="urn:schemas-microsoft-com:office:smarttags" w:element="place">
        <w:smartTag w:uri="urn:schemas-microsoft-com:office:smarttags" w:element="PlaceName">
          <w:r>
            <w:rPr>
              <w:i/>
              <w:sz w:val="16"/>
            </w:rPr>
            <w:t>Glasgow</w:t>
          </w:r>
        </w:smartTag>
        <w:r>
          <w:rPr>
            <w:i/>
            <w:sz w:val="16"/>
          </w:rPr>
          <w:t xml:space="preserve"> </w:t>
        </w:r>
        <w:smartTag w:uri="urn:schemas-microsoft-com:office:smarttags" w:element="PlaceType">
          <w:r>
            <w:rPr>
              <w:i/>
              <w:sz w:val="16"/>
            </w:rPr>
            <w:t>City</w:t>
          </w:r>
        </w:smartTag>
      </w:smartTag>
      <w:r>
        <w:rPr>
          <w:i/>
          <w:sz w:val="16"/>
        </w:rPr>
        <w:t xml:space="preserve"> Council under licence from the Ordnance Survey in order to fulfil its public function to make available Council-held public domain information. Persons viewing this mapping should contact Ordnance Survey Copyright for advice where they wish to licence Ordnance Survey mapping/map data for their own use. The OS web site can be found at </w:t>
      </w:r>
      <w:r>
        <w:rPr>
          <w:i/>
          <w:sz w:val="16"/>
          <w:u w:val="single"/>
        </w:rPr>
        <w:t>&lt;http://www.ordnancesurvey.co.uk&gt;</w:t>
      </w:r>
      <w:r>
        <w:rPr>
          <w:i/>
          <w:sz w:val="16"/>
        </w:rPr>
        <w:t xml:space="preserve"> "</w:t>
      </w:r>
    </w:p>
    <w:p w14:paraId="13AC482B" w14:textId="77777777" w:rsidR="00CF75C2" w:rsidRDefault="00CF75C2" w:rsidP="00CF75C2">
      <w:pPr>
        <w:pBdr>
          <w:top w:val="single" w:sz="4" w:space="1" w:color="auto"/>
          <w:left w:val="single" w:sz="4" w:space="2" w:color="auto"/>
          <w:bottom w:val="single" w:sz="4" w:space="1" w:color="auto"/>
          <w:right w:val="single" w:sz="4" w:space="4" w:color="auto"/>
        </w:pBdr>
        <w:autoSpaceDE w:val="0"/>
        <w:autoSpaceDN w:val="0"/>
        <w:adjustRightInd w:val="0"/>
        <w:spacing w:before="100" w:after="100"/>
        <w:rPr>
          <w:i/>
          <w:sz w:val="16"/>
        </w:rPr>
      </w:pPr>
      <w:r>
        <w:rPr>
          <w:i/>
          <w:sz w:val="16"/>
        </w:rPr>
        <w:lastRenderedPageBreak/>
        <w:t>If accessing this Report via the Internet, please note that any mapping is for illustrative purposes only and is not true to any marked scale</w:t>
      </w:r>
    </w:p>
    <w:p w14:paraId="09B1C0FE" w14:textId="77777777" w:rsidR="00261F14" w:rsidRDefault="00261F14" w:rsidP="00261F14"/>
    <w:p w14:paraId="03458301" w14:textId="77777777" w:rsidR="00261F14" w:rsidRPr="00261F14" w:rsidRDefault="00261F14" w:rsidP="00261F14">
      <w:pPr>
        <w:sectPr w:rsidR="00261F14" w:rsidRPr="00261F14">
          <w:footerReference w:type="default" r:id="rId9"/>
          <w:pgSz w:w="11906" w:h="16838"/>
          <w:pgMar w:top="1440" w:right="1440" w:bottom="1440" w:left="1440" w:header="708" w:footer="708" w:gutter="0"/>
          <w:cols w:space="708"/>
          <w:docGrid w:linePitch="360"/>
        </w:sectPr>
      </w:pPr>
    </w:p>
    <w:p w14:paraId="36EA37C8" w14:textId="62696033" w:rsidR="00A47523" w:rsidRPr="00A47523" w:rsidRDefault="00A47523" w:rsidP="00A47523">
      <w:pPr>
        <w:spacing w:after="0"/>
        <w:jc w:val="both"/>
        <w:rPr>
          <w:rFonts w:cs="Arial"/>
          <w:b/>
          <w:sz w:val="24"/>
          <w:szCs w:val="24"/>
          <w:lang w:val="en-US"/>
        </w:rPr>
      </w:pPr>
      <w:r w:rsidRPr="00A47523">
        <w:rPr>
          <w:rFonts w:cs="Arial"/>
          <w:b/>
          <w:sz w:val="24"/>
          <w:szCs w:val="24"/>
          <w:lang w:val="en-US"/>
        </w:rPr>
        <w:lastRenderedPageBreak/>
        <w:t>1</w:t>
      </w:r>
      <w:r w:rsidRPr="00A47523">
        <w:rPr>
          <w:rFonts w:cs="Arial"/>
          <w:b/>
          <w:sz w:val="24"/>
          <w:szCs w:val="24"/>
          <w:lang w:val="en-US"/>
        </w:rPr>
        <w:tab/>
        <w:t>Background</w:t>
      </w:r>
    </w:p>
    <w:p w14:paraId="2C28DABC" w14:textId="20029C35" w:rsidR="00A47523" w:rsidRPr="00A47523" w:rsidRDefault="00C52268" w:rsidP="00A47523">
      <w:pPr>
        <w:spacing w:after="0"/>
        <w:ind w:left="720"/>
        <w:jc w:val="both"/>
        <w:rPr>
          <w:rFonts w:cs="Arial"/>
          <w:sz w:val="24"/>
          <w:szCs w:val="24"/>
          <w:lang w:val="en-US"/>
        </w:rPr>
      </w:pPr>
      <w:r>
        <w:rPr>
          <w:rFonts w:cs="Arial"/>
          <w:sz w:val="24"/>
          <w:szCs w:val="24"/>
          <w:lang w:val="en-US"/>
        </w:rPr>
        <w:t>A</w:t>
      </w:r>
      <w:r w:rsidR="00A47523" w:rsidRPr="00A47523">
        <w:rPr>
          <w:rFonts w:cs="Arial"/>
          <w:sz w:val="24"/>
          <w:szCs w:val="24"/>
          <w:lang w:val="en-US"/>
        </w:rPr>
        <w:t xml:space="preserve"> review of the structure of the Local Government Pension Scheme (LGPS) scheme in</w:t>
      </w:r>
      <w:r>
        <w:rPr>
          <w:rFonts w:cs="Arial"/>
          <w:sz w:val="24"/>
          <w:szCs w:val="24"/>
          <w:lang w:val="en-US"/>
        </w:rPr>
        <w:t xml:space="preserve"> Scotland</w:t>
      </w:r>
      <w:r w:rsidR="00A47523" w:rsidRPr="00A47523">
        <w:rPr>
          <w:rFonts w:cs="Arial"/>
          <w:sz w:val="24"/>
          <w:szCs w:val="24"/>
          <w:lang w:val="en-US"/>
        </w:rPr>
        <w:t xml:space="preserve"> is being carried out by the Scheme Advisory Board (SAB)</w:t>
      </w:r>
      <w:r w:rsidR="005217D3">
        <w:rPr>
          <w:rFonts w:cs="Arial"/>
          <w:sz w:val="24"/>
          <w:szCs w:val="24"/>
          <w:lang w:val="en-US"/>
        </w:rPr>
        <w:t xml:space="preserve"> at the request of the </w:t>
      </w:r>
      <w:r w:rsidR="005217D3">
        <w:rPr>
          <w:rFonts w:ascii="Helvetica" w:hAnsi="Helvetica" w:cs="Helvetica"/>
          <w:color w:val="202020"/>
        </w:rPr>
        <w:t>Scottish Government Cabinet Secretary for Finance and Constitution, Derek Mackay MSP</w:t>
      </w:r>
      <w:r w:rsidR="00A47523" w:rsidRPr="00A47523">
        <w:rPr>
          <w:rFonts w:cs="Arial"/>
          <w:sz w:val="24"/>
          <w:szCs w:val="24"/>
          <w:lang w:val="en-US"/>
        </w:rPr>
        <w:t>. The consultation is now underway</w:t>
      </w:r>
      <w:r w:rsidR="00342C93">
        <w:rPr>
          <w:rFonts w:cs="Arial"/>
          <w:sz w:val="24"/>
          <w:szCs w:val="24"/>
          <w:lang w:val="en-US"/>
        </w:rPr>
        <w:t xml:space="preserve"> with the consultation closing on 7</w:t>
      </w:r>
      <w:r w:rsidR="00342C93" w:rsidRPr="00342C93">
        <w:rPr>
          <w:rFonts w:cs="Arial"/>
          <w:sz w:val="24"/>
          <w:szCs w:val="24"/>
          <w:vertAlign w:val="superscript"/>
          <w:lang w:val="en-US"/>
        </w:rPr>
        <w:t>th</w:t>
      </w:r>
      <w:r w:rsidR="00342C93">
        <w:rPr>
          <w:rFonts w:cs="Arial"/>
          <w:sz w:val="24"/>
          <w:szCs w:val="24"/>
          <w:lang w:val="en-US"/>
        </w:rPr>
        <w:t xml:space="preserve"> December 2018</w:t>
      </w:r>
      <w:r w:rsidR="00A47523" w:rsidRPr="00A47523">
        <w:rPr>
          <w:rFonts w:cs="Arial"/>
          <w:sz w:val="24"/>
          <w:szCs w:val="24"/>
          <w:lang w:val="en-US"/>
        </w:rPr>
        <w:t>.</w:t>
      </w:r>
    </w:p>
    <w:p w14:paraId="2B19F13A" w14:textId="77777777" w:rsidR="00227DED" w:rsidRPr="00A47523" w:rsidRDefault="00227DED" w:rsidP="00A47523">
      <w:pPr>
        <w:spacing w:after="0"/>
        <w:ind w:left="720"/>
        <w:jc w:val="both"/>
        <w:rPr>
          <w:rFonts w:cs="Arial"/>
          <w:sz w:val="24"/>
          <w:szCs w:val="24"/>
          <w:lang w:val="en-US"/>
        </w:rPr>
      </w:pPr>
    </w:p>
    <w:p w14:paraId="097838AF" w14:textId="30D97FE9" w:rsidR="00A47523" w:rsidRPr="00A47523" w:rsidRDefault="00A47523" w:rsidP="00A47523">
      <w:pPr>
        <w:pStyle w:val="ListParagraph"/>
        <w:numPr>
          <w:ilvl w:val="0"/>
          <w:numId w:val="38"/>
        </w:numPr>
        <w:spacing w:after="0"/>
        <w:ind w:hanging="720"/>
        <w:jc w:val="both"/>
        <w:rPr>
          <w:rFonts w:cs="Arial"/>
          <w:b/>
          <w:sz w:val="24"/>
          <w:szCs w:val="24"/>
          <w:lang w:val="en-US"/>
        </w:rPr>
      </w:pPr>
      <w:r w:rsidRPr="00A47523">
        <w:rPr>
          <w:rFonts w:cs="Arial"/>
          <w:b/>
          <w:sz w:val="24"/>
          <w:szCs w:val="24"/>
          <w:lang w:val="en-US"/>
        </w:rPr>
        <w:t>Consultation Process</w:t>
      </w:r>
    </w:p>
    <w:p w14:paraId="023972E4" w14:textId="72648C09" w:rsidR="00227DED" w:rsidRPr="00227DED" w:rsidRDefault="00227DED" w:rsidP="00227DED">
      <w:pPr>
        <w:spacing w:after="0"/>
        <w:jc w:val="both"/>
        <w:rPr>
          <w:rFonts w:cs="Arial"/>
          <w:b/>
          <w:sz w:val="24"/>
          <w:szCs w:val="24"/>
          <w:lang w:val="en-US"/>
        </w:rPr>
      </w:pPr>
      <w:r w:rsidRPr="00227DED">
        <w:rPr>
          <w:rFonts w:cs="Arial"/>
          <w:b/>
          <w:sz w:val="24"/>
          <w:szCs w:val="24"/>
          <w:lang w:val="en-US"/>
        </w:rPr>
        <w:t>2.1</w:t>
      </w:r>
      <w:r w:rsidRPr="00227DED">
        <w:rPr>
          <w:rFonts w:cs="Arial"/>
          <w:b/>
          <w:sz w:val="24"/>
          <w:szCs w:val="24"/>
          <w:lang w:val="en-US"/>
        </w:rPr>
        <w:tab/>
        <w:t xml:space="preserve">Pensions Institute </w:t>
      </w:r>
    </w:p>
    <w:p w14:paraId="64235921" w14:textId="6BFECAF7" w:rsidR="00A47523" w:rsidRDefault="00A47523" w:rsidP="00A47523">
      <w:pPr>
        <w:spacing w:after="0"/>
        <w:ind w:left="720"/>
        <w:jc w:val="both"/>
        <w:rPr>
          <w:rFonts w:cs="Arial"/>
          <w:sz w:val="24"/>
          <w:szCs w:val="24"/>
        </w:rPr>
      </w:pPr>
      <w:r w:rsidRPr="00A47523">
        <w:rPr>
          <w:rFonts w:cs="Arial"/>
          <w:sz w:val="24"/>
          <w:szCs w:val="24"/>
          <w:lang w:val="en-US"/>
        </w:rPr>
        <w:lastRenderedPageBreak/>
        <w:t xml:space="preserve">The SAB has commissioned the Pensions Institute to manage the consultation process. </w:t>
      </w:r>
      <w:r w:rsidR="00227DED">
        <w:rPr>
          <w:rFonts w:cs="Arial"/>
          <w:sz w:val="24"/>
          <w:szCs w:val="24"/>
          <w:lang w:val="en-US"/>
        </w:rPr>
        <w:t xml:space="preserve">Hosted by </w:t>
      </w:r>
      <w:r w:rsidR="00227DED" w:rsidRPr="00227DED">
        <w:rPr>
          <w:rFonts w:cs="Arial"/>
          <w:sz w:val="24"/>
          <w:szCs w:val="24"/>
        </w:rPr>
        <w:t>Cass Business School at the University of London, the Pensions Institute is the first and only UK academic research centre focused entirely on pensions research.</w:t>
      </w:r>
      <w:r w:rsidR="00227DED">
        <w:rPr>
          <w:rFonts w:cs="Arial"/>
          <w:sz w:val="24"/>
          <w:szCs w:val="24"/>
        </w:rPr>
        <w:t xml:space="preserve"> </w:t>
      </w:r>
    </w:p>
    <w:p w14:paraId="25EE8667" w14:textId="77777777" w:rsidR="005217D3" w:rsidRDefault="005217D3" w:rsidP="00A47523">
      <w:pPr>
        <w:spacing w:after="0"/>
        <w:ind w:left="720"/>
        <w:jc w:val="both"/>
        <w:rPr>
          <w:rFonts w:cs="Arial"/>
          <w:sz w:val="24"/>
          <w:szCs w:val="24"/>
        </w:rPr>
      </w:pPr>
    </w:p>
    <w:p w14:paraId="0B7EE814" w14:textId="36BD14EC" w:rsidR="005217D3" w:rsidRPr="005217D3" w:rsidRDefault="005217D3" w:rsidP="005217D3">
      <w:pPr>
        <w:spacing w:after="0"/>
        <w:jc w:val="both"/>
        <w:rPr>
          <w:rFonts w:cs="Arial"/>
          <w:b/>
          <w:sz w:val="24"/>
          <w:szCs w:val="24"/>
        </w:rPr>
      </w:pPr>
      <w:r w:rsidRPr="005217D3">
        <w:rPr>
          <w:rFonts w:cs="Arial"/>
          <w:b/>
          <w:sz w:val="24"/>
          <w:szCs w:val="24"/>
        </w:rPr>
        <w:t>2.2</w:t>
      </w:r>
      <w:r w:rsidRPr="005217D3">
        <w:rPr>
          <w:rFonts w:cs="Arial"/>
          <w:b/>
          <w:sz w:val="24"/>
          <w:szCs w:val="24"/>
        </w:rPr>
        <w:tab/>
        <w:t>Consultation Report</w:t>
      </w:r>
    </w:p>
    <w:p w14:paraId="63CF70FA" w14:textId="7FC646BD" w:rsidR="005217D3" w:rsidRDefault="001A0D16" w:rsidP="00A47523">
      <w:pPr>
        <w:spacing w:after="0"/>
        <w:ind w:left="720"/>
        <w:jc w:val="both"/>
        <w:rPr>
          <w:rFonts w:cs="Arial"/>
          <w:sz w:val="24"/>
          <w:szCs w:val="24"/>
        </w:rPr>
      </w:pPr>
      <w:r>
        <w:rPr>
          <w:rFonts w:cs="Arial"/>
          <w:sz w:val="24"/>
          <w:szCs w:val="24"/>
        </w:rPr>
        <w:t>The consultation was launched during June 2018 with the publication of a report. The report and response form are available from:</w:t>
      </w:r>
    </w:p>
    <w:p w14:paraId="1E9A07DB" w14:textId="2E5097CF" w:rsidR="005217D3" w:rsidRDefault="00DF6507" w:rsidP="00A47523">
      <w:pPr>
        <w:spacing w:after="0"/>
        <w:ind w:left="720"/>
        <w:jc w:val="both"/>
        <w:rPr>
          <w:rFonts w:cs="Arial"/>
          <w:sz w:val="24"/>
          <w:szCs w:val="24"/>
        </w:rPr>
      </w:pPr>
      <w:hyperlink r:id="rId10" w:history="1">
        <w:r w:rsidR="001A0D16" w:rsidRPr="002746CE">
          <w:rPr>
            <w:rStyle w:val="Hyperlink"/>
            <w:rFonts w:cs="Arial"/>
            <w:sz w:val="24"/>
            <w:szCs w:val="24"/>
          </w:rPr>
          <w:t>http://lgpsab.scot/consultation2018/</w:t>
        </w:r>
      </w:hyperlink>
    </w:p>
    <w:p w14:paraId="78C99274" w14:textId="77777777" w:rsidR="001A0D16" w:rsidRDefault="001A0D16" w:rsidP="00A47523">
      <w:pPr>
        <w:spacing w:after="0"/>
        <w:ind w:left="720"/>
        <w:jc w:val="both"/>
        <w:rPr>
          <w:rFonts w:cs="Arial"/>
          <w:sz w:val="24"/>
          <w:szCs w:val="24"/>
        </w:rPr>
      </w:pPr>
    </w:p>
    <w:p w14:paraId="0F9A98DF" w14:textId="7ECADE95" w:rsidR="001A0D16" w:rsidRPr="00227DED" w:rsidRDefault="001A0D16" w:rsidP="001A0D16">
      <w:pPr>
        <w:spacing w:after="0"/>
        <w:jc w:val="both"/>
        <w:rPr>
          <w:rFonts w:cs="Arial"/>
          <w:b/>
          <w:sz w:val="24"/>
          <w:szCs w:val="24"/>
        </w:rPr>
      </w:pPr>
      <w:r w:rsidRPr="00227DED">
        <w:rPr>
          <w:rFonts w:cs="Arial"/>
          <w:b/>
          <w:sz w:val="24"/>
          <w:szCs w:val="24"/>
        </w:rPr>
        <w:t>2.</w:t>
      </w:r>
      <w:r>
        <w:rPr>
          <w:rFonts w:cs="Arial"/>
          <w:b/>
          <w:sz w:val="24"/>
          <w:szCs w:val="24"/>
        </w:rPr>
        <w:t>3</w:t>
      </w:r>
      <w:r w:rsidRPr="00227DED">
        <w:rPr>
          <w:rFonts w:cs="Arial"/>
          <w:b/>
          <w:sz w:val="24"/>
          <w:szCs w:val="24"/>
        </w:rPr>
        <w:tab/>
        <w:t>Objectives</w:t>
      </w:r>
    </w:p>
    <w:p w14:paraId="1E83445C" w14:textId="3132165D" w:rsidR="001A0D16" w:rsidRDefault="001A0D16" w:rsidP="001A0D16">
      <w:pPr>
        <w:spacing w:after="0"/>
        <w:ind w:left="720"/>
        <w:jc w:val="both"/>
        <w:rPr>
          <w:rFonts w:cs="Arial"/>
          <w:sz w:val="24"/>
          <w:szCs w:val="24"/>
        </w:rPr>
      </w:pPr>
      <w:r w:rsidRPr="00227DED">
        <w:rPr>
          <w:rFonts w:cs="Arial"/>
          <w:sz w:val="24"/>
          <w:szCs w:val="24"/>
        </w:rPr>
        <w:lastRenderedPageBreak/>
        <w:t>Th</w:t>
      </w:r>
      <w:r>
        <w:rPr>
          <w:rFonts w:cs="Arial"/>
          <w:sz w:val="24"/>
          <w:szCs w:val="24"/>
        </w:rPr>
        <w:t xml:space="preserve">e </w:t>
      </w:r>
      <w:r w:rsidRPr="00227DED">
        <w:rPr>
          <w:rFonts w:cs="Arial"/>
          <w:sz w:val="24"/>
          <w:szCs w:val="24"/>
        </w:rPr>
        <w:t>consultation seeks to establish the views of employers and employee representative groups on whether outcomes for the members and sponsors of the Scottish Local Government Pension Scheme (SLGPS) can be improved by altering the structure of the scheme. The consultation asks these stakeholders to compare the advantages and disadvantages of the current scheme structure against three options that, by differing degrees, consolidate the functions of the scheme’s 11 constituent funds by co</w:t>
      </w:r>
      <w:r>
        <w:rPr>
          <w:rFonts w:cs="Arial"/>
          <w:sz w:val="24"/>
          <w:szCs w:val="24"/>
        </w:rPr>
        <w:t>llaboration, pooling and merger.</w:t>
      </w:r>
    </w:p>
    <w:p w14:paraId="26E51216" w14:textId="77777777" w:rsidR="001A0D16" w:rsidRDefault="001A0D16" w:rsidP="001A0D16">
      <w:pPr>
        <w:spacing w:after="0"/>
        <w:ind w:left="720"/>
        <w:jc w:val="both"/>
        <w:rPr>
          <w:rFonts w:cs="Arial"/>
          <w:sz w:val="24"/>
          <w:szCs w:val="24"/>
        </w:rPr>
      </w:pPr>
    </w:p>
    <w:p w14:paraId="6990BAF6" w14:textId="70614CA6" w:rsidR="001A0D16" w:rsidRPr="001A0D16" w:rsidRDefault="001A0D16" w:rsidP="001A0D16">
      <w:pPr>
        <w:spacing w:after="0"/>
        <w:jc w:val="both"/>
        <w:rPr>
          <w:rFonts w:cs="Arial"/>
          <w:b/>
          <w:sz w:val="24"/>
          <w:szCs w:val="24"/>
        </w:rPr>
      </w:pPr>
      <w:r w:rsidRPr="001A0D16">
        <w:rPr>
          <w:rFonts w:cs="Arial"/>
          <w:b/>
          <w:sz w:val="24"/>
          <w:szCs w:val="24"/>
        </w:rPr>
        <w:t>2.4</w:t>
      </w:r>
      <w:r w:rsidRPr="001A0D16">
        <w:rPr>
          <w:rFonts w:cs="Arial"/>
          <w:b/>
          <w:sz w:val="24"/>
          <w:szCs w:val="24"/>
        </w:rPr>
        <w:tab/>
        <w:t>Options</w:t>
      </w:r>
    </w:p>
    <w:p w14:paraId="5FC681FA" w14:textId="73AA7AF6" w:rsidR="001A0D16" w:rsidRDefault="001A0D16" w:rsidP="001A0D16">
      <w:pPr>
        <w:spacing w:after="0"/>
        <w:ind w:left="720"/>
        <w:jc w:val="both"/>
        <w:rPr>
          <w:rFonts w:cs="Arial"/>
          <w:sz w:val="24"/>
          <w:szCs w:val="24"/>
        </w:rPr>
      </w:pPr>
      <w:r>
        <w:rPr>
          <w:rFonts w:cs="Arial"/>
          <w:sz w:val="24"/>
          <w:szCs w:val="24"/>
        </w:rPr>
        <w:t xml:space="preserve">The 4 options identified in the Consultation Report are: </w:t>
      </w:r>
    </w:p>
    <w:p w14:paraId="5A27053E" w14:textId="77777777" w:rsidR="001A0D16" w:rsidRPr="001A0D16" w:rsidRDefault="001A0D16" w:rsidP="001A0D16">
      <w:pPr>
        <w:numPr>
          <w:ilvl w:val="0"/>
          <w:numId w:val="39"/>
        </w:numPr>
        <w:spacing w:after="0"/>
        <w:jc w:val="both"/>
        <w:rPr>
          <w:rFonts w:cs="Arial"/>
          <w:sz w:val="24"/>
          <w:szCs w:val="24"/>
        </w:rPr>
      </w:pPr>
      <w:r w:rsidRPr="001A0D16">
        <w:rPr>
          <w:rFonts w:cs="Arial"/>
          <w:sz w:val="24"/>
          <w:szCs w:val="24"/>
        </w:rPr>
        <w:t>retain the current structure with 11 funds</w:t>
      </w:r>
    </w:p>
    <w:p w14:paraId="26010027" w14:textId="77777777" w:rsidR="001A0D16" w:rsidRPr="001A0D16" w:rsidRDefault="001A0D16" w:rsidP="001A0D16">
      <w:pPr>
        <w:numPr>
          <w:ilvl w:val="0"/>
          <w:numId w:val="39"/>
        </w:numPr>
        <w:spacing w:after="0"/>
        <w:jc w:val="both"/>
        <w:rPr>
          <w:rFonts w:cs="Arial"/>
          <w:sz w:val="24"/>
          <w:szCs w:val="24"/>
        </w:rPr>
      </w:pPr>
      <w:r w:rsidRPr="001A0D16">
        <w:rPr>
          <w:rFonts w:cs="Arial"/>
          <w:sz w:val="24"/>
          <w:szCs w:val="24"/>
        </w:rPr>
        <w:lastRenderedPageBreak/>
        <w:t xml:space="preserve">promote cooperation in investing and administration between the 11 funds </w:t>
      </w:r>
    </w:p>
    <w:p w14:paraId="0F6FAFD6" w14:textId="77777777" w:rsidR="001A0D16" w:rsidRPr="001A0D16" w:rsidRDefault="001A0D16" w:rsidP="001A0D16">
      <w:pPr>
        <w:numPr>
          <w:ilvl w:val="0"/>
          <w:numId w:val="39"/>
        </w:numPr>
        <w:spacing w:after="0"/>
        <w:jc w:val="both"/>
        <w:rPr>
          <w:rFonts w:cs="Arial"/>
          <w:sz w:val="24"/>
          <w:szCs w:val="24"/>
        </w:rPr>
      </w:pPr>
      <w:r w:rsidRPr="001A0D16">
        <w:rPr>
          <w:rFonts w:cs="Arial"/>
          <w:sz w:val="24"/>
          <w:szCs w:val="24"/>
        </w:rPr>
        <w:t>pool investments between the 11 funds</w:t>
      </w:r>
    </w:p>
    <w:p w14:paraId="4AB96C26" w14:textId="77777777" w:rsidR="001A0D16" w:rsidRPr="001A0D16" w:rsidRDefault="001A0D16" w:rsidP="001A0D16">
      <w:pPr>
        <w:numPr>
          <w:ilvl w:val="0"/>
          <w:numId w:val="39"/>
        </w:numPr>
        <w:spacing w:after="0"/>
        <w:jc w:val="both"/>
        <w:rPr>
          <w:rFonts w:cs="Arial"/>
          <w:sz w:val="24"/>
          <w:szCs w:val="24"/>
        </w:rPr>
      </w:pPr>
      <w:r w:rsidRPr="001A0D16">
        <w:rPr>
          <w:rFonts w:cs="Arial"/>
          <w:sz w:val="24"/>
          <w:szCs w:val="24"/>
        </w:rPr>
        <w:t>merge the 11 funds into one or more funds.</w:t>
      </w:r>
    </w:p>
    <w:p w14:paraId="3E70D56C" w14:textId="77777777" w:rsidR="001A0D16" w:rsidRDefault="001A0D16" w:rsidP="001A0D16">
      <w:pPr>
        <w:spacing w:after="0"/>
        <w:ind w:left="720"/>
        <w:jc w:val="both"/>
        <w:rPr>
          <w:rFonts w:cs="Arial"/>
          <w:sz w:val="24"/>
          <w:szCs w:val="24"/>
        </w:rPr>
      </w:pPr>
    </w:p>
    <w:p w14:paraId="09B85E17" w14:textId="1F3A341F" w:rsidR="001A0D16" w:rsidRDefault="001A0D16" w:rsidP="001A0D16">
      <w:pPr>
        <w:spacing w:after="0"/>
        <w:ind w:left="720"/>
        <w:jc w:val="both"/>
        <w:rPr>
          <w:rFonts w:cs="Arial"/>
          <w:sz w:val="24"/>
          <w:szCs w:val="24"/>
        </w:rPr>
      </w:pPr>
      <w:r>
        <w:rPr>
          <w:rFonts w:cs="Arial"/>
          <w:sz w:val="24"/>
          <w:szCs w:val="24"/>
        </w:rPr>
        <w:t xml:space="preserve">The </w:t>
      </w:r>
      <w:r w:rsidRPr="001A0D16">
        <w:rPr>
          <w:rFonts w:cs="Arial"/>
          <w:sz w:val="24"/>
          <w:szCs w:val="24"/>
        </w:rPr>
        <w:t xml:space="preserve">consultation focuses on </w:t>
      </w:r>
      <w:r>
        <w:rPr>
          <w:rFonts w:cs="Arial"/>
          <w:sz w:val="24"/>
          <w:szCs w:val="24"/>
        </w:rPr>
        <w:t>4</w:t>
      </w:r>
      <w:r w:rsidRPr="001A0D16">
        <w:rPr>
          <w:rFonts w:cs="Arial"/>
          <w:sz w:val="24"/>
          <w:szCs w:val="24"/>
        </w:rPr>
        <w:t xml:space="preserve"> criteria in relation to each option</w:t>
      </w:r>
      <w:r>
        <w:rPr>
          <w:rFonts w:cs="Arial"/>
          <w:sz w:val="24"/>
          <w:szCs w:val="24"/>
        </w:rPr>
        <w:t xml:space="preserve">. </w:t>
      </w:r>
    </w:p>
    <w:p w14:paraId="1E67B6E2" w14:textId="77777777" w:rsidR="001A0D16" w:rsidRDefault="001A0D16" w:rsidP="001A0D16">
      <w:pPr>
        <w:spacing w:after="0"/>
        <w:jc w:val="both"/>
        <w:rPr>
          <w:rFonts w:cs="Arial"/>
          <w:b/>
          <w:sz w:val="24"/>
          <w:szCs w:val="24"/>
        </w:rPr>
      </w:pPr>
    </w:p>
    <w:p w14:paraId="5B9D0587" w14:textId="31E9FDAC" w:rsidR="001A0D16" w:rsidRPr="001A0D16" w:rsidRDefault="001A0D16" w:rsidP="001A0D16">
      <w:pPr>
        <w:spacing w:after="0"/>
        <w:jc w:val="both"/>
        <w:rPr>
          <w:rFonts w:cs="Arial"/>
          <w:b/>
          <w:sz w:val="24"/>
          <w:szCs w:val="24"/>
        </w:rPr>
      </w:pPr>
      <w:r w:rsidRPr="001A0D16">
        <w:rPr>
          <w:rFonts w:cs="Arial"/>
          <w:b/>
          <w:sz w:val="24"/>
          <w:szCs w:val="24"/>
        </w:rPr>
        <w:t>2.5</w:t>
      </w:r>
      <w:r w:rsidRPr="001A0D16">
        <w:rPr>
          <w:rFonts w:cs="Arial"/>
          <w:b/>
          <w:sz w:val="24"/>
          <w:szCs w:val="24"/>
        </w:rPr>
        <w:tab/>
        <w:t>Criteria</w:t>
      </w:r>
    </w:p>
    <w:p w14:paraId="0FE5C2A6" w14:textId="5AD221BC" w:rsidR="001A0D16" w:rsidRDefault="001A0D16" w:rsidP="001A0D16">
      <w:pPr>
        <w:spacing w:after="0"/>
        <w:ind w:left="720"/>
        <w:jc w:val="both"/>
        <w:rPr>
          <w:rFonts w:cs="Arial"/>
          <w:sz w:val="24"/>
          <w:szCs w:val="24"/>
        </w:rPr>
      </w:pPr>
      <w:r>
        <w:rPr>
          <w:rFonts w:cs="Arial"/>
          <w:sz w:val="24"/>
          <w:szCs w:val="24"/>
        </w:rPr>
        <w:t xml:space="preserve">The 4 criteria against which each of the options is to be assessed are: </w:t>
      </w:r>
    </w:p>
    <w:p w14:paraId="14AC8451" w14:textId="48ED6CE5" w:rsidR="001A0D16" w:rsidRPr="001A0D16" w:rsidRDefault="001A0D16" w:rsidP="001A0D16">
      <w:pPr>
        <w:pStyle w:val="ListParagraph"/>
        <w:numPr>
          <w:ilvl w:val="0"/>
          <w:numId w:val="40"/>
        </w:numPr>
        <w:spacing w:after="0"/>
        <w:jc w:val="both"/>
        <w:rPr>
          <w:rFonts w:cs="Arial"/>
          <w:sz w:val="24"/>
          <w:szCs w:val="24"/>
        </w:rPr>
      </w:pPr>
      <w:r>
        <w:rPr>
          <w:rFonts w:cs="Arial"/>
          <w:sz w:val="24"/>
          <w:szCs w:val="24"/>
        </w:rPr>
        <w:t>c</w:t>
      </w:r>
      <w:r w:rsidRPr="001A0D16">
        <w:rPr>
          <w:rFonts w:cs="Arial"/>
          <w:sz w:val="24"/>
          <w:szCs w:val="24"/>
        </w:rPr>
        <w:t>ost of investing</w:t>
      </w:r>
    </w:p>
    <w:p w14:paraId="3B396B0D" w14:textId="1A7092D0" w:rsidR="001A0D16" w:rsidRPr="001A0D16" w:rsidRDefault="001A0D16" w:rsidP="001A0D16">
      <w:pPr>
        <w:pStyle w:val="ListParagraph"/>
        <w:numPr>
          <w:ilvl w:val="0"/>
          <w:numId w:val="40"/>
        </w:numPr>
        <w:spacing w:after="0"/>
        <w:jc w:val="both"/>
        <w:rPr>
          <w:rFonts w:cs="Arial"/>
          <w:sz w:val="24"/>
          <w:szCs w:val="24"/>
        </w:rPr>
      </w:pPr>
      <w:r>
        <w:rPr>
          <w:rFonts w:cs="Arial"/>
          <w:sz w:val="24"/>
          <w:szCs w:val="24"/>
        </w:rPr>
        <w:t>g</w:t>
      </w:r>
      <w:r w:rsidRPr="001A0D16">
        <w:rPr>
          <w:rFonts w:cs="Arial"/>
          <w:sz w:val="24"/>
          <w:szCs w:val="24"/>
        </w:rPr>
        <w:t>overnance</w:t>
      </w:r>
    </w:p>
    <w:p w14:paraId="2A5FE09E" w14:textId="4D24A9B0" w:rsidR="001A0D16" w:rsidRPr="001A0D16" w:rsidRDefault="001A0D16" w:rsidP="001A0D16">
      <w:pPr>
        <w:pStyle w:val="ListParagraph"/>
        <w:numPr>
          <w:ilvl w:val="0"/>
          <w:numId w:val="40"/>
        </w:numPr>
        <w:spacing w:after="0"/>
        <w:jc w:val="both"/>
        <w:rPr>
          <w:rFonts w:cs="Arial"/>
          <w:sz w:val="24"/>
          <w:szCs w:val="24"/>
        </w:rPr>
      </w:pPr>
      <w:r>
        <w:rPr>
          <w:rFonts w:cs="Arial"/>
          <w:sz w:val="24"/>
          <w:szCs w:val="24"/>
        </w:rPr>
        <w:t>o</w:t>
      </w:r>
      <w:r w:rsidRPr="001A0D16">
        <w:rPr>
          <w:rFonts w:cs="Arial"/>
          <w:sz w:val="24"/>
          <w:szCs w:val="24"/>
        </w:rPr>
        <w:t xml:space="preserve">perating risks </w:t>
      </w:r>
    </w:p>
    <w:p w14:paraId="3B38D362" w14:textId="5A4B8630" w:rsidR="001A0D16" w:rsidRPr="001A0D16" w:rsidRDefault="001A0D16" w:rsidP="001A0D16">
      <w:pPr>
        <w:pStyle w:val="ListParagraph"/>
        <w:numPr>
          <w:ilvl w:val="0"/>
          <w:numId w:val="40"/>
        </w:numPr>
        <w:spacing w:after="0"/>
        <w:jc w:val="both"/>
        <w:rPr>
          <w:rFonts w:cs="Arial"/>
          <w:sz w:val="24"/>
          <w:szCs w:val="24"/>
        </w:rPr>
      </w:pPr>
      <w:r>
        <w:rPr>
          <w:rFonts w:cs="Arial"/>
          <w:sz w:val="24"/>
          <w:szCs w:val="24"/>
        </w:rPr>
        <w:lastRenderedPageBreak/>
        <w:t>infrastructure investment.</w:t>
      </w:r>
      <w:r w:rsidRPr="001A0D16">
        <w:rPr>
          <w:rFonts w:cs="Arial"/>
          <w:sz w:val="24"/>
          <w:szCs w:val="24"/>
        </w:rPr>
        <w:t xml:space="preserve"> </w:t>
      </w:r>
    </w:p>
    <w:p w14:paraId="0664D651" w14:textId="77777777" w:rsidR="001A0D16" w:rsidRDefault="001A0D16" w:rsidP="00A47523">
      <w:pPr>
        <w:spacing w:after="0"/>
        <w:ind w:left="720"/>
        <w:jc w:val="both"/>
        <w:rPr>
          <w:rFonts w:cs="Arial"/>
          <w:sz w:val="24"/>
          <w:szCs w:val="24"/>
        </w:rPr>
      </w:pPr>
    </w:p>
    <w:p w14:paraId="1D47FDFD" w14:textId="06C01075" w:rsidR="00227DED" w:rsidRPr="0099278D" w:rsidRDefault="0099278D" w:rsidP="0099278D">
      <w:pPr>
        <w:spacing w:after="0"/>
        <w:jc w:val="both"/>
        <w:rPr>
          <w:rFonts w:cs="Arial"/>
          <w:b/>
          <w:sz w:val="24"/>
          <w:szCs w:val="24"/>
        </w:rPr>
      </w:pPr>
      <w:r>
        <w:rPr>
          <w:rFonts w:cs="Arial"/>
          <w:b/>
          <w:sz w:val="24"/>
          <w:szCs w:val="24"/>
        </w:rPr>
        <w:t>2.6</w:t>
      </w:r>
      <w:r>
        <w:rPr>
          <w:rFonts w:cs="Arial"/>
          <w:b/>
          <w:sz w:val="24"/>
          <w:szCs w:val="24"/>
        </w:rPr>
        <w:tab/>
      </w:r>
      <w:r w:rsidR="001A0D16" w:rsidRPr="0099278D">
        <w:rPr>
          <w:rFonts w:cs="Arial"/>
          <w:b/>
          <w:sz w:val="24"/>
          <w:szCs w:val="24"/>
        </w:rPr>
        <w:t xml:space="preserve">Responses </w:t>
      </w:r>
    </w:p>
    <w:p w14:paraId="65C239A5" w14:textId="7D4CAE2B" w:rsidR="00227DED" w:rsidRDefault="001A0D16" w:rsidP="00A47523">
      <w:pPr>
        <w:spacing w:after="0"/>
        <w:ind w:left="720"/>
        <w:jc w:val="both"/>
        <w:rPr>
          <w:szCs w:val="23"/>
        </w:rPr>
      </w:pPr>
      <w:r>
        <w:rPr>
          <w:szCs w:val="23"/>
        </w:rPr>
        <w:t>Employer and employee representative o</w:t>
      </w:r>
      <w:r w:rsidR="005217D3">
        <w:rPr>
          <w:szCs w:val="23"/>
        </w:rPr>
        <w:t xml:space="preserve">rganisations </w:t>
      </w:r>
      <w:r>
        <w:rPr>
          <w:szCs w:val="23"/>
        </w:rPr>
        <w:t xml:space="preserve">are asked to </w:t>
      </w:r>
      <w:r w:rsidR="005217D3">
        <w:rPr>
          <w:szCs w:val="23"/>
        </w:rPr>
        <w:t xml:space="preserve">respond to the questions in the form accompanying the report and return it via email to the Pensions Institute no later than </w:t>
      </w:r>
      <w:r w:rsidR="005217D3" w:rsidRPr="0099278D">
        <w:rPr>
          <w:b/>
          <w:szCs w:val="23"/>
        </w:rPr>
        <w:t>Friday 7</w:t>
      </w:r>
      <w:r w:rsidR="0099278D" w:rsidRPr="0099278D">
        <w:rPr>
          <w:b/>
          <w:szCs w:val="23"/>
          <w:vertAlign w:val="superscript"/>
        </w:rPr>
        <w:t>th</w:t>
      </w:r>
      <w:r w:rsidR="005217D3" w:rsidRPr="0099278D">
        <w:rPr>
          <w:b/>
          <w:szCs w:val="23"/>
        </w:rPr>
        <w:t xml:space="preserve"> December 2018</w:t>
      </w:r>
      <w:r w:rsidR="005217D3">
        <w:rPr>
          <w:szCs w:val="23"/>
        </w:rPr>
        <w:t>.</w:t>
      </w:r>
    </w:p>
    <w:p w14:paraId="1F2F5CB8" w14:textId="77777777" w:rsidR="00342C93" w:rsidRDefault="00342C93" w:rsidP="00A47523">
      <w:pPr>
        <w:spacing w:after="0"/>
        <w:ind w:left="720"/>
        <w:jc w:val="both"/>
        <w:rPr>
          <w:rFonts w:cs="Arial"/>
          <w:sz w:val="24"/>
          <w:szCs w:val="24"/>
        </w:rPr>
      </w:pPr>
    </w:p>
    <w:p w14:paraId="68172FF9" w14:textId="0F1C2D35" w:rsidR="00227DED" w:rsidRPr="0099278D" w:rsidRDefault="00342C93" w:rsidP="0099278D">
      <w:pPr>
        <w:spacing w:after="0"/>
        <w:jc w:val="both"/>
        <w:rPr>
          <w:rFonts w:cs="Arial"/>
          <w:b/>
          <w:sz w:val="24"/>
          <w:szCs w:val="24"/>
        </w:rPr>
      </w:pPr>
      <w:r>
        <w:rPr>
          <w:rFonts w:cs="Arial"/>
          <w:b/>
          <w:sz w:val="24"/>
          <w:szCs w:val="24"/>
        </w:rPr>
        <w:t>3</w:t>
      </w:r>
      <w:r>
        <w:rPr>
          <w:rFonts w:cs="Arial"/>
          <w:b/>
          <w:sz w:val="24"/>
          <w:szCs w:val="24"/>
        </w:rPr>
        <w:tab/>
        <w:t>Glasgow City Council</w:t>
      </w:r>
      <w:r w:rsidR="0099278D" w:rsidRPr="0099278D">
        <w:rPr>
          <w:rFonts w:cs="Arial"/>
          <w:b/>
          <w:sz w:val="24"/>
          <w:szCs w:val="24"/>
        </w:rPr>
        <w:t xml:space="preserve"> Response </w:t>
      </w:r>
    </w:p>
    <w:p w14:paraId="6DE78410" w14:textId="6569D819" w:rsidR="00227DED" w:rsidRDefault="00342C93" w:rsidP="00A47523">
      <w:pPr>
        <w:spacing w:after="0"/>
        <w:ind w:left="720"/>
        <w:jc w:val="both"/>
        <w:rPr>
          <w:rFonts w:cs="Arial"/>
          <w:sz w:val="24"/>
          <w:szCs w:val="24"/>
        </w:rPr>
      </w:pPr>
      <w:r>
        <w:rPr>
          <w:rFonts w:cs="Arial"/>
          <w:sz w:val="24"/>
          <w:szCs w:val="24"/>
        </w:rPr>
        <w:t>A draft GCC</w:t>
      </w:r>
      <w:r w:rsidR="0099278D">
        <w:rPr>
          <w:rFonts w:cs="Arial"/>
          <w:sz w:val="24"/>
          <w:szCs w:val="24"/>
        </w:rPr>
        <w:t xml:space="preserve"> response is attached as Appendix A to this report. The committee is asked to consider and co</w:t>
      </w:r>
      <w:r>
        <w:rPr>
          <w:rFonts w:cs="Arial"/>
          <w:sz w:val="24"/>
          <w:szCs w:val="24"/>
        </w:rPr>
        <w:t>mment on this draft and to approve, following any amendments, this being submitted by the deadline of 7</w:t>
      </w:r>
      <w:r w:rsidRPr="00342C93">
        <w:rPr>
          <w:rFonts w:cs="Arial"/>
          <w:sz w:val="24"/>
          <w:szCs w:val="24"/>
          <w:vertAlign w:val="superscript"/>
        </w:rPr>
        <w:t>th</w:t>
      </w:r>
      <w:r>
        <w:rPr>
          <w:rFonts w:cs="Arial"/>
          <w:sz w:val="24"/>
          <w:szCs w:val="24"/>
        </w:rPr>
        <w:t xml:space="preserve"> December.</w:t>
      </w:r>
    </w:p>
    <w:p w14:paraId="2B5F5FBC" w14:textId="77777777" w:rsidR="005E0AC3" w:rsidRDefault="005E0AC3" w:rsidP="005E0AC3">
      <w:pPr>
        <w:spacing w:after="0"/>
        <w:rPr>
          <w:b/>
          <w:bCs/>
          <w:sz w:val="24"/>
          <w:szCs w:val="24"/>
        </w:rPr>
      </w:pPr>
    </w:p>
    <w:p w14:paraId="6042AC6D" w14:textId="5731132D" w:rsidR="0099278D" w:rsidRDefault="00342C93" w:rsidP="005E0AC3">
      <w:pPr>
        <w:spacing w:after="0"/>
        <w:rPr>
          <w:b/>
          <w:bCs/>
          <w:sz w:val="24"/>
          <w:szCs w:val="24"/>
        </w:rPr>
      </w:pPr>
      <w:r>
        <w:rPr>
          <w:b/>
          <w:bCs/>
          <w:sz w:val="24"/>
          <w:szCs w:val="24"/>
        </w:rPr>
        <w:t>4</w:t>
      </w:r>
      <w:r>
        <w:rPr>
          <w:b/>
          <w:bCs/>
          <w:sz w:val="24"/>
          <w:szCs w:val="24"/>
        </w:rPr>
        <w:tab/>
        <w:t>SPF View</w:t>
      </w:r>
      <w:r w:rsidR="0099278D">
        <w:rPr>
          <w:b/>
          <w:bCs/>
          <w:sz w:val="24"/>
          <w:szCs w:val="24"/>
        </w:rPr>
        <w:t xml:space="preserve"> </w:t>
      </w:r>
    </w:p>
    <w:p w14:paraId="78DDBBB1" w14:textId="13E16E11" w:rsidR="0099278D" w:rsidRPr="0099278D" w:rsidRDefault="00342C93" w:rsidP="0099278D">
      <w:pPr>
        <w:spacing w:after="0"/>
        <w:ind w:left="720"/>
        <w:rPr>
          <w:bCs/>
          <w:sz w:val="24"/>
          <w:szCs w:val="24"/>
        </w:rPr>
      </w:pPr>
      <w:r>
        <w:rPr>
          <w:bCs/>
          <w:sz w:val="24"/>
          <w:szCs w:val="24"/>
        </w:rPr>
        <w:t>This draft is consistent with the views of Strathclyde Pension Fund and was approved by SPF for distribution to all employer authorities to facilitate a more consistent response from Strathclyde based authorities.</w:t>
      </w:r>
    </w:p>
    <w:p w14:paraId="2FE72E0C" w14:textId="77777777" w:rsidR="0099278D" w:rsidRPr="005E0AC3" w:rsidRDefault="0099278D" w:rsidP="005E0AC3">
      <w:pPr>
        <w:spacing w:after="0"/>
        <w:rPr>
          <w:b/>
          <w:bCs/>
          <w:sz w:val="24"/>
          <w:szCs w:val="24"/>
        </w:rPr>
      </w:pPr>
    </w:p>
    <w:p w14:paraId="04E87535" w14:textId="0ABD4142" w:rsidR="005E0AC3" w:rsidRPr="005E0AC3" w:rsidRDefault="006C41F5" w:rsidP="005E0AC3">
      <w:pPr>
        <w:spacing w:after="0"/>
        <w:rPr>
          <w:b/>
          <w:bCs/>
          <w:sz w:val="24"/>
          <w:szCs w:val="24"/>
        </w:rPr>
      </w:pPr>
      <w:r>
        <w:rPr>
          <w:b/>
          <w:bCs/>
          <w:sz w:val="24"/>
          <w:szCs w:val="24"/>
        </w:rPr>
        <w:t>5</w:t>
      </w:r>
      <w:r w:rsidR="005E0AC3" w:rsidRPr="005E0AC3">
        <w:rPr>
          <w:b/>
          <w:bCs/>
          <w:sz w:val="24"/>
          <w:szCs w:val="24"/>
        </w:rPr>
        <w:tab/>
        <w:t>Policy and Resource Implications</w:t>
      </w:r>
    </w:p>
    <w:p w14:paraId="64E537C9" w14:textId="77777777" w:rsidR="005E0AC3" w:rsidRPr="005E0AC3" w:rsidRDefault="005E0AC3" w:rsidP="005E0AC3">
      <w:pPr>
        <w:spacing w:after="0"/>
        <w:rPr>
          <w:b/>
          <w:bCs/>
          <w:sz w:val="24"/>
          <w:szCs w:val="24"/>
        </w:rPr>
      </w:pPr>
    </w:p>
    <w:tbl>
      <w:tblPr>
        <w:tblW w:w="0" w:type="auto"/>
        <w:tblInd w:w="828" w:type="dxa"/>
        <w:tblLook w:val="01E0" w:firstRow="1" w:lastRow="1" w:firstColumn="1" w:lastColumn="1" w:noHBand="0" w:noVBand="0"/>
      </w:tblPr>
      <w:tblGrid>
        <w:gridCol w:w="2848"/>
        <w:gridCol w:w="5350"/>
      </w:tblGrid>
      <w:tr w:rsidR="005E0AC3" w:rsidRPr="005E0AC3" w14:paraId="0BE1194C" w14:textId="77777777" w:rsidTr="00A9502D">
        <w:tc>
          <w:tcPr>
            <w:tcW w:w="2848" w:type="dxa"/>
            <w:shd w:val="clear" w:color="auto" w:fill="auto"/>
          </w:tcPr>
          <w:p w14:paraId="489A0970" w14:textId="77777777" w:rsidR="005E0AC3" w:rsidRPr="005E0AC3" w:rsidRDefault="005E0AC3" w:rsidP="005E0AC3">
            <w:pPr>
              <w:spacing w:after="0"/>
              <w:rPr>
                <w:rFonts w:cs="Arial"/>
                <w:b/>
                <w:sz w:val="24"/>
                <w:szCs w:val="24"/>
                <w:lang w:val="en-US"/>
              </w:rPr>
            </w:pPr>
            <w:r w:rsidRPr="005E0AC3">
              <w:rPr>
                <w:rFonts w:cs="Arial"/>
                <w:b/>
                <w:sz w:val="24"/>
                <w:szCs w:val="24"/>
                <w:lang w:val="en-US"/>
              </w:rPr>
              <w:t>Resource Implications:</w:t>
            </w:r>
          </w:p>
          <w:p w14:paraId="5868EB59" w14:textId="77777777" w:rsidR="005E0AC3" w:rsidRPr="005E0AC3" w:rsidRDefault="005E0AC3" w:rsidP="005E0AC3">
            <w:pPr>
              <w:spacing w:after="0"/>
              <w:rPr>
                <w:bCs/>
                <w:sz w:val="24"/>
                <w:szCs w:val="24"/>
              </w:rPr>
            </w:pPr>
          </w:p>
        </w:tc>
        <w:tc>
          <w:tcPr>
            <w:tcW w:w="5353" w:type="dxa"/>
            <w:shd w:val="clear" w:color="auto" w:fill="auto"/>
          </w:tcPr>
          <w:p w14:paraId="4C19911E" w14:textId="77777777" w:rsidR="005E0AC3" w:rsidRPr="005E0AC3" w:rsidRDefault="005E0AC3" w:rsidP="005E0AC3">
            <w:pPr>
              <w:spacing w:after="0"/>
              <w:rPr>
                <w:bCs/>
                <w:sz w:val="24"/>
                <w:szCs w:val="24"/>
              </w:rPr>
            </w:pPr>
          </w:p>
        </w:tc>
      </w:tr>
      <w:tr w:rsidR="005E0AC3" w:rsidRPr="005E0AC3" w14:paraId="6C749C4E" w14:textId="77777777" w:rsidTr="00A9502D">
        <w:tc>
          <w:tcPr>
            <w:tcW w:w="2848" w:type="dxa"/>
            <w:shd w:val="clear" w:color="auto" w:fill="auto"/>
          </w:tcPr>
          <w:p w14:paraId="55943394" w14:textId="77777777" w:rsidR="005E0AC3" w:rsidRPr="005E0AC3" w:rsidRDefault="005E0AC3" w:rsidP="005E0AC3">
            <w:pPr>
              <w:spacing w:after="0"/>
              <w:ind w:left="360"/>
              <w:rPr>
                <w:rFonts w:cs="Arial"/>
                <w:i/>
                <w:sz w:val="24"/>
                <w:szCs w:val="24"/>
                <w:lang w:val="en-US"/>
              </w:rPr>
            </w:pPr>
            <w:r w:rsidRPr="005E0AC3">
              <w:rPr>
                <w:rFonts w:cs="Arial"/>
                <w:i/>
                <w:sz w:val="24"/>
                <w:szCs w:val="24"/>
                <w:lang w:val="en-US"/>
              </w:rPr>
              <w:t>Financial:</w:t>
            </w:r>
          </w:p>
          <w:p w14:paraId="318B8CBC" w14:textId="77777777" w:rsidR="005E0AC3" w:rsidRPr="005E0AC3" w:rsidRDefault="005E0AC3" w:rsidP="005E0AC3">
            <w:pPr>
              <w:spacing w:after="0"/>
              <w:ind w:left="360"/>
              <w:rPr>
                <w:bCs/>
                <w:sz w:val="24"/>
                <w:szCs w:val="24"/>
              </w:rPr>
            </w:pPr>
          </w:p>
        </w:tc>
        <w:tc>
          <w:tcPr>
            <w:tcW w:w="5353" w:type="dxa"/>
            <w:shd w:val="clear" w:color="auto" w:fill="auto"/>
          </w:tcPr>
          <w:p w14:paraId="5D88A1B3" w14:textId="77777777" w:rsidR="005E0AC3" w:rsidRDefault="005E0AC3" w:rsidP="006C41F5">
            <w:pPr>
              <w:spacing w:after="0"/>
              <w:rPr>
                <w:bCs/>
                <w:sz w:val="24"/>
                <w:szCs w:val="24"/>
              </w:rPr>
            </w:pPr>
            <w:r w:rsidRPr="005E0AC3">
              <w:rPr>
                <w:bCs/>
                <w:sz w:val="24"/>
                <w:szCs w:val="24"/>
              </w:rPr>
              <w:t>No</w:t>
            </w:r>
            <w:r w:rsidR="006C41F5">
              <w:rPr>
                <w:bCs/>
                <w:sz w:val="24"/>
                <w:szCs w:val="24"/>
              </w:rPr>
              <w:t xml:space="preserve"> immediate impact, but the review could have significant financial consequences. These are referred to in the draft response.  </w:t>
            </w:r>
          </w:p>
          <w:p w14:paraId="51A2C536" w14:textId="68A00264" w:rsidR="006C41F5" w:rsidRPr="005E0AC3" w:rsidRDefault="006C41F5" w:rsidP="006C41F5">
            <w:pPr>
              <w:spacing w:after="0"/>
              <w:rPr>
                <w:bCs/>
                <w:sz w:val="24"/>
                <w:szCs w:val="24"/>
              </w:rPr>
            </w:pPr>
          </w:p>
        </w:tc>
      </w:tr>
      <w:tr w:rsidR="005E0AC3" w:rsidRPr="005E0AC3" w14:paraId="6A188B69" w14:textId="77777777" w:rsidTr="00A9502D">
        <w:tc>
          <w:tcPr>
            <w:tcW w:w="2848" w:type="dxa"/>
            <w:shd w:val="clear" w:color="auto" w:fill="auto"/>
          </w:tcPr>
          <w:p w14:paraId="509D478F" w14:textId="77777777" w:rsidR="005E0AC3" w:rsidRPr="005E0AC3" w:rsidRDefault="005E0AC3" w:rsidP="005E0AC3">
            <w:pPr>
              <w:spacing w:after="0"/>
              <w:ind w:left="360"/>
              <w:rPr>
                <w:rFonts w:cs="Arial"/>
                <w:i/>
                <w:sz w:val="24"/>
                <w:szCs w:val="24"/>
                <w:lang w:val="en-US"/>
              </w:rPr>
            </w:pPr>
            <w:r w:rsidRPr="005E0AC3">
              <w:rPr>
                <w:rFonts w:cs="Arial"/>
                <w:i/>
                <w:sz w:val="24"/>
                <w:szCs w:val="24"/>
                <w:lang w:val="en-US"/>
              </w:rPr>
              <w:t>Legal:</w:t>
            </w:r>
          </w:p>
          <w:p w14:paraId="3CCF1017" w14:textId="77777777" w:rsidR="005E0AC3" w:rsidRPr="005E0AC3" w:rsidRDefault="005E0AC3" w:rsidP="005E0AC3">
            <w:pPr>
              <w:spacing w:after="0"/>
              <w:ind w:left="360"/>
              <w:rPr>
                <w:bCs/>
                <w:sz w:val="24"/>
                <w:szCs w:val="24"/>
              </w:rPr>
            </w:pPr>
          </w:p>
        </w:tc>
        <w:tc>
          <w:tcPr>
            <w:tcW w:w="5353" w:type="dxa"/>
            <w:shd w:val="clear" w:color="auto" w:fill="auto"/>
          </w:tcPr>
          <w:p w14:paraId="35ABF3E3" w14:textId="545C28EB" w:rsidR="006C41F5" w:rsidRDefault="006C41F5" w:rsidP="006C41F5">
            <w:pPr>
              <w:spacing w:after="0"/>
              <w:rPr>
                <w:bCs/>
                <w:sz w:val="24"/>
                <w:szCs w:val="24"/>
              </w:rPr>
            </w:pPr>
            <w:r w:rsidRPr="005E0AC3">
              <w:rPr>
                <w:bCs/>
                <w:sz w:val="24"/>
                <w:szCs w:val="24"/>
              </w:rPr>
              <w:t>No</w:t>
            </w:r>
            <w:r>
              <w:rPr>
                <w:bCs/>
                <w:sz w:val="24"/>
                <w:szCs w:val="24"/>
              </w:rPr>
              <w:t xml:space="preserve"> immediate impact, but the review could require new legislation or regulations. </w:t>
            </w:r>
          </w:p>
          <w:p w14:paraId="6EA925B5" w14:textId="4BEF480D" w:rsidR="005E0AC3" w:rsidRPr="005E0AC3" w:rsidRDefault="005E0AC3" w:rsidP="005E0AC3">
            <w:pPr>
              <w:spacing w:after="0"/>
              <w:rPr>
                <w:bCs/>
                <w:sz w:val="24"/>
                <w:szCs w:val="24"/>
              </w:rPr>
            </w:pPr>
          </w:p>
        </w:tc>
      </w:tr>
      <w:tr w:rsidR="005E0AC3" w:rsidRPr="005E0AC3" w14:paraId="4AA3489D" w14:textId="77777777" w:rsidTr="00A9502D">
        <w:tc>
          <w:tcPr>
            <w:tcW w:w="2848" w:type="dxa"/>
            <w:shd w:val="clear" w:color="auto" w:fill="auto"/>
          </w:tcPr>
          <w:p w14:paraId="4AA92252" w14:textId="77777777" w:rsidR="005E0AC3" w:rsidRPr="005E0AC3" w:rsidRDefault="005E0AC3" w:rsidP="005E0AC3">
            <w:pPr>
              <w:spacing w:after="0"/>
              <w:ind w:left="360"/>
              <w:rPr>
                <w:rFonts w:cs="Arial"/>
                <w:i/>
                <w:sz w:val="24"/>
                <w:szCs w:val="24"/>
                <w:lang w:val="en-US"/>
              </w:rPr>
            </w:pPr>
            <w:r w:rsidRPr="005E0AC3">
              <w:rPr>
                <w:rFonts w:cs="Arial"/>
                <w:i/>
                <w:sz w:val="24"/>
                <w:szCs w:val="24"/>
                <w:lang w:val="en-US"/>
              </w:rPr>
              <w:t>Personnel:</w:t>
            </w:r>
          </w:p>
          <w:p w14:paraId="55968233" w14:textId="77777777" w:rsidR="005E0AC3" w:rsidRPr="005E0AC3" w:rsidRDefault="005E0AC3" w:rsidP="005E0AC3">
            <w:pPr>
              <w:spacing w:after="0"/>
              <w:ind w:left="360"/>
              <w:rPr>
                <w:bCs/>
                <w:sz w:val="24"/>
                <w:szCs w:val="24"/>
              </w:rPr>
            </w:pPr>
          </w:p>
        </w:tc>
        <w:tc>
          <w:tcPr>
            <w:tcW w:w="5353" w:type="dxa"/>
            <w:shd w:val="clear" w:color="auto" w:fill="auto"/>
          </w:tcPr>
          <w:p w14:paraId="4501BD73" w14:textId="63716CF3" w:rsidR="006C41F5" w:rsidRPr="006C41F5" w:rsidRDefault="006C41F5" w:rsidP="006C41F5">
            <w:pPr>
              <w:spacing w:after="0"/>
              <w:rPr>
                <w:bCs/>
                <w:sz w:val="24"/>
                <w:szCs w:val="24"/>
              </w:rPr>
            </w:pPr>
            <w:r w:rsidRPr="006C41F5">
              <w:rPr>
                <w:bCs/>
                <w:sz w:val="24"/>
                <w:szCs w:val="24"/>
              </w:rPr>
              <w:t xml:space="preserve">No immediate impact, but the review could </w:t>
            </w:r>
            <w:r>
              <w:rPr>
                <w:bCs/>
                <w:sz w:val="24"/>
                <w:szCs w:val="24"/>
              </w:rPr>
              <w:t>have implications for administering authority staff</w:t>
            </w:r>
            <w:r w:rsidRPr="006C41F5">
              <w:rPr>
                <w:bCs/>
                <w:sz w:val="24"/>
                <w:szCs w:val="24"/>
              </w:rPr>
              <w:t xml:space="preserve">. </w:t>
            </w:r>
          </w:p>
          <w:p w14:paraId="0A0DB346" w14:textId="66ED9F36" w:rsidR="005E0AC3" w:rsidRPr="005E0AC3" w:rsidRDefault="005E0AC3" w:rsidP="005E0AC3">
            <w:pPr>
              <w:spacing w:after="0"/>
              <w:rPr>
                <w:bCs/>
                <w:sz w:val="24"/>
                <w:szCs w:val="24"/>
              </w:rPr>
            </w:pPr>
          </w:p>
        </w:tc>
      </w:tr>
      <w:tr w:rsidR="005E0AC3" w:rsidRPr="005E0AC3" w14:paraId="322EE664" w14:textId="77777777" w:rsidTr="00A9502D">
        <w:tc>
          <w:tcPr>
            <w:tcW w:w="2848" w:type="dxa"/>
            <w:shd w:val="clear" w:color="auto" w:fill="auto"/>
          </w:tcPr>
          <w:p w14:paraId="7525941C" w14:textId="77777777" w:rsidR="005E0AC3" w:rsidRPr="005E0AC3" w:rsidRDefault="005E0AC3" w:rsidP="005E0AC3">
            <w:pPr>
              <w:spacing w:after="0"/>
              <w:ind w:left="360"/>
              <w:rPr>
                <w:rFonts w:cs="Arial"/>
                <w:i/>
                <w:sz w:val="24"/>
                <w:szCs w:val="24"/>
                <w:lang w:val="en-US"/>
              </w:rPr>
            </w:pPr>
            <w:r w:rsidRPr="005E0AC3">
              <w:rPr>
                <w:rFonts w:cs="Arial"/>
                <w:i/>
                <w:sz w:val="24"/>
                <w:szCs w:val="24"/>
                <w:lang w:val="en-US"/>
              </w:rPr>
              <w:lastRenderedPageBreak/>
              <w:t>Procurement:</w:t>
            </w:r>
          </w:p>
          <w:p w14:paraId="3DAFF7A6" w14:textId="77777777" w:rsidR="005E0AC3" w:rsidRPr="005E0AC3" w:rsidRDefault="005E0AC3" w:rsidP="005E0AC3">
            <w:pPr>
              <w:spacing w:after="0"/>
              <w:ind w:left="360"/>
              <w:rPr>
                <w:bCs/>
                <w:sz w:val="24"/>
                <w:szCs w:val="24"/>
              </w:rPr>
            </w:pPr>
          </w:p>
        </w:tc>
        <w:tc>
          <w:tcPr>
            <w:tcW w:w="5353" w:type="dxa"/>
            <w:shd w:val="clear" w:color="auto" w:fill="auto"/>
          </w:tcPr>
          <w:p w14:paraId="22BC705A" w14:textId="30BEF1BC" w:rsidR="005E0AC3" w:rsidRPr="005E0AC3" w:rsidRDefault="005E0AC3" w:rsidP="006C41F5">
            <w:pPr>
              <w:spacing w:after="0"/>
              <w:rPr>
                <w:bCs/>
                <w:sz w:val="24"/>
                <w:szCs w:val="24"/>
              </w:rPr>
            </w:pPr>
            <w:r w:rsidRPr="005E0AC3">
              <w:rPr>
                <w:bCs/>
                <w:sz w:val="24"/>
                <w:szCs w:val="24"/>
              </w:rPr>
              <w:t>No</w:t>
            </w:r>
            <w:r w:rsidR="006C41F5">
              <w:rPr>
                <w:bCs/>
                <w:sz w:val="24"/>
                <w:szCs w:val="24"/>
              </w:rPr>
              <w:t xml:space="preserve"> immediate consequences. </w:t>
            </w:r>
          </w:p>
        </w:tc>
      </w:tr>
      <w:tr w:rsidR="005E0AC3" w:rsidRPr="005E0AC3" w14:paraId="5670DA3F" w14:textId="77777777" w:rsidTr="00A9502D">
        <w:tc>
          <w:tcPr>
            <w:tcW w:w="2848" w:type="dxa"/>
            <w:shd w:val="clear" w:color="auto" w:fill="auto"/>
          </w:tcPr>
          <w:p w14:paraId="4C495EEC" w14:textId="77777777" w:rsidR="005E0AC3" w:rsidRPr="005E0AC3" w:rsidRDefault="005E0AC3" w:rsidP="005E0AC3">
            <w:pPr>
              <w:spacing w:after="0"/>
              <w:rPr>
                <w:bCs/>
                <w:sz w:val="24"/>
                <w:szCs w:val="24"/>
              </w:rPr>
            </w:pPr>
            <w:r w:rsidRPr="005E0AC3">
              <w:rPr>
                <w:rFonts w:cs="Arial"/>
                <w:b/>
                <w:sz w:val="24"/>
                <w:szCs w:val="24"/>
                <w:lang w:val="en-US"/>
              </w:rPr>
              <w:t>Council Strategic Plan:</w:t>
            </w:r>
          </w:p>
        </w:tc>
        <w:tc>
          <w:tcPr>
            <w:tcW w:w="5353" w:type="dxa"/>
            <w:shd w:val="clear" w:color="auto" w:fill="auto"/>
          </w:tcPr>
          <w:p w14:paraId="35CB6059" w14:textId="398FFFBB" w:rsidR="005E0AC3" w:rsidRPr="006C41F5" w:rsidRDefault="006C41F5" w:rsidP="005E0AC3">
            <w:pPr>
              <w:spacing w:after="0"/>
              <w:rPr>
                <w:rFonts w:cs="Arial"/>
                <w:sz w:val="24"/>
                <w:szCs w:val="24"/>
                <w:lang w:val="en-US"/>
              </w:rPr>
            </w:pPr>
            <w:r w:rsidRPr="006C41F5">
              <w:rPr>
                <w:rFonts w:cs="Arial"/>
                <w:sz w:val="24"/>
                <w:szCs w:val="24"/>
                <w:lang w:val="en-US"/>
              </w:rPr>
              <w:t xml:space="preserve">n/a </w:t>
            </w:r>
          </w:p>
          <w:p w14:paraId="563BFD4A" w14:textId="77777777" w:rsidR="005E0AC3" w:rsidRPr="005E0AC3" w:rsidRDefault="005E0AC3" w:rsidP="005E0AC3">
            <w:pPr>
              <w:spacing w:after="0"/>
              <w:rPr>
                <w:bCs/>
                <w:sz w:val="24"/>
                <w:szCs w:val="24"/>
              </w:rPr>
            </w:pPr>
          </w:p>
        </w:tc>
      </w:tr>
      <w:tr w:rsidR="005E0AC3" w:rsidRPr="005E0AC3" w14:paraId="34156151" w14:textId="77777777" w:rsidTr="00A9502D">
        <w:tc>
          <w:tcPr>
            <w:tcW w:w="2848" w:type="dxa"/>
            <w:shd w:val="clear" w:color="auto" w:fill="auto"/>
          </w:tcPr>
          <w:p w14:paraId="42717EF9" w14:textId="77777777" w:rsidR="005E0AC3" w:rsidRPr="005E0AC3" w:rsidRDefault="005E0AC3" w:rsidP="005E0AC3">
            <w:pPr>
              <w:spacing w:after="0"/>
              <w:rPr>
                <w:rFonts w:cs="Arial"/>
                <w:b/>
                <w:sz w:val="24"/>
                <w:szCs w:val="24"/>
                <w:lang w:val="en-US"/>
              </w:rPr>
            </w:pPr>
            <w:smartTag w:uri="urn:schemas-microsoft-com:office:smarttags" w:element="country-region">
              <w:r w:rsidRPr="005E0AC3">
                <w:rPr>
                  <w:rFonts w:cs="Arial"/>
                  <w:b/>
                  <w:sz w:val="24"/>
                  <w:szCs w:val="24"/>
                  <w:lang w:val="en-US"/>
                </w:rPr>
                <w:t>Equality</w:t>
              </w:r>
            </w:smartTag>
            <w:r w:rsidRPr="005E0AC3">
              <w:rPr>
                <w:rFonts w:cs="Arial"/>
                <w:b/>
                <w:sz w:val="24"/>
                <w:szCs w:val="24"/>
                <w:lang w:val="en-US"/>
              </w:rPr>
              <w:t xml:space="preserve"> Impacts:</w:t>
            </w:r>
          </w:p>
          <w:p w14:paraId="1720F95D" w14:textId="77777777" w:rsidR="005E0AC3" w:rsidRPr="005E0AC3" w:rsidRDefault="005E0AC3" w:rsidP="005E0AC3">
            <w:pPr>
              <w:spacing w:after="0"/>
              <w:rPr>
                <w:rFonts w:cs="Arial"/>
                <w:sz w:val="24"/>
                <w:szCs w:val="24"/>
                <w:lang w:val="en-US"/>
              </w:rPr>
            </w:pPr>
          </w:p>
        </w:tc>
        <w:tc>
          <w:tcPr>
            <w:tcW w:w="5353" w:type="dxa"/>
            <w:shd w:val="clear" w:color="auto" w:fill="auto"/>
          </w:tcPr>
          <w:p w14:paraId="670B35A1" w14:textId="77777777" w:rsidR="005E0AC3" w:rsidRPr="005E0AC3" w:rsidRDefault="005E0AC3" w:rsidP="005E0AC3">
            <w:pPr>
              <w:spacing w:after="0"/>
              <w:rPr>
                <w:rFonts w:cs="Arial"/>
                <w:sz w:val="24"/>
                <w:szCs w:val="24"/>
                <w:lang w:val="en-US"/>
              </w:rPr>
            </w:pPr>
          </w:p>
        </w:tc>
      </w:tr>
      <w:tr w:rsidR="00A9502D" w:rsidRPr="005E0AC3" w14:paraId="4593125B" w14:textId="77777777" w:rsidTr="00A9502D">
        <w:tc>
          <w:tcPr>
            <w:tcW w:w="2848" w:type="dxa"/>
            <w:shd w:val="clear" w:color="auto" w:fill="auto"/>
          </w:tcPr>
          <w:p w14:paraId="30D32EFD" w14:textId="77777777" w:rsidR="00A9502D" w:rsidRPr="007A65FE" w:rsidRDefault="00A9502D" w:rsidP="00A9502D">
            <w:pPr>
              <w:ind w:left="432"/>
              <w:rPr>
                <w:rFonts w:cs="Arial"/>
                <w:i/>
              </w:rPr>
            </w:pPr>
            <w:r>
              <w:rPr>
                <w:rFonts w:cs="Arial"/>
                <w:i/>
              </w:rPr>
              <w:t>Does the proposal support the Council’s Equality Outcomes 2017-22</w:t>
            </w:r>
          </w:p>
          <w:p w14:paraId="346CDC65" w14:textId="77777777" w:rsidR="00A9502D" w:rsidRPr="005E0AC3" w:rsidRDefault="00A9502D" w:rsidP="00A9502D">
            <w:pPr>
              <w:spacing w:after="0"/>
              <w:ind w:left="432"/>
              <w:rPr>
                <w:rFonts w:cs="Arial"/>
                <w:sz w:val="24"/>
                <w:szCs w:val="24"/>
                <w:lang w:val="en-US"/>
              </w:rPr>
            </w:pPr>
          </w:p>
        </w:tc>
        <w:tc>
          <w:tcPr>
            <w:tcW w:w="5353" w:type="dxa"/>
            <w:shd w:val="clear" w:color="auto" w:fill="auto"/>
          </w:tcPr>
          <w:p w14:paraId="4F4FDB0B" w14:textId="635D97D7" w:rsidR="00A9502D" w:rsidRPr="005E0AC3" w:rsidRDefault="00A9502D" w:rsidP="00A9502D">
            <w:pPr>
              <w:spacing w:after="0"/>
              <w:rPr>
                <w:rFonts w:cs="Arial"/>
                <w:sz w:val="24"/>
                <w:szCs w:val="24"/>
                <w:lang w:val="en-US"/>
              </w:rPr>
            </w:pPr>
            <w:r>
              <w:rPr>
                <w:rFonts w:cs="Arial"/>
                <w:sz w:val="24"/>
                <w:szCs w:val="24"/>
                <w:lang w:val="en-US"/>
              </w:rPr>
              <w:t>n/a</w:t>
            </w:r>
          </w:p>
        </w:tc>
      </w:tr>
      <w:tr w:rsidR="00A9502D" w:rsidRPr="005E0AC3" w14:paraId="25A30FC1" w14:textId="77777777" w:rsidTr="00A9502D">
        <w:tc>
          <w:tcPr>
            <w:tcW w:w="2848" w:type="dxa"/>
            <w:shd w:val="clear" w:color="auto" w:fill="auto"/>
          </w:tcPr>
          <w:p w14:paraId="30BE74CE" w14:textId="77777777" w:rsidR="00A9502D" w:rsidRDefault="00A9502D" w:rsidP="00A9502D">
            <w:pPr>
              <w:ind w:left="432"/>
              <w:rPr>
                <w:rFonts w:cs="Arial"/>
                <w:i/>
              </w:rPr>
            </w:pPr>
            <w:r>
              <w:rPr>
                <w:rFonts w:cs="Arial"/>
                <w:i/>
              </w:rPr>
              <w:t>What are the potential equality impacts as a result of this report?</w:t>
            </w:r>
          </w:p>
          <w:p w14:paraId="36341356" w14:textId="4F4D6C1C" w:rsidR="00A9502D" w:rsidRPr="005E0AC3" w:rsidRDefault="00A9502D" w:rsidP="00A9502D">
            <w:pPr>
              <w:spacing w:after="0"/>
              <w:ind w:left="432"/>
              <w:rPr>
                <w:rFonts w:cs="Arial"/>
                <w:sz w:val="24"/>
                <w:szCs w:val="24"/>
                <w:lang w:val="en-US"/>
              </w:rPr>
            </w:pPr>
          </w:p>
        </w:tc>
        <w:tc>
          <w:tcPr>
            <w:tcW w:w="5353" w:type="dxa"/>
            <w:shd w:val="clear" w:color="auto" w:fill="auto"/>
          </w:tcPr>
          <w:p w14:paraId="1593D4F6" w14:textId="7E9BFC60" w:rsidR="00A9502D" w:rsidRPr="007A65FE" w:rsidRDefault="00A9502D" w:rsidP="00A9502D">
            <w:pPr>
              <w:rPr>
                <w:rFonts w:cs="Arial"/>
              </w:rPr>
            </w:pPr>
            <w:r>
              <w:rPr>
                <w:rFonts w:cs="Arial"/>
              </w:rPr>
              <w:t>n/a</w:t>
            </w:r>
          </w:p>
          <w:p w14:paraId="73086F4F" w14:textId="77777777" w:rsidR="00A9502D" w:rsidRPr="005E0AC3" w:rsidRDefault="00A9502D" w:rsidP="00A9502D">
            <w:pPr>
              <w:spacing w:after="0"/>
              <w:rPr>
                <w:rFonts w:cs="Arial"/>
                <w:sz w:val="24"/>
                <w:szCs w:val="24"/>
                <w:lang w:val="en-US"/>
              </w:rPr>
            </w:pPr>
          </w:p>
        </w:tc>
      </w:tr>
      <w:tr w:rsidR="00A9502D" w:rsidRPr="005E0AC3" w14:paraId="561E39A7" w14:textId="77777777" w:rsidTr="00A9502D">
        <w:tc>
          <w:tcPr>
            <w:tcW w:w="2848" w:type="dxa"/>
            <w:shd w:val="clear" w:color="auto" w:fill="auto"/>
          </w:tcPr>
          <w:p w14:paraId="7BA021DF" w14:textId="77777777" w:rsidR="00A9502D" w:rsidRPr="005E0AC3" w:rsidRDefault="00A9502D" w:rsidP="00A9502D">
            <w:pPr>
              <w:spacing w:after="0"/>
              <w:rPr>
                <w:rFonts w:cs="Arial"/>
                <w:b/>
                <w:sz w:val="24"/>
                <w:szCs w:val="24"/>
                <w:lang w:val="en-US"/>
              </w:rPr>
            </w:pPr>
            <w:r w:rsidRPr="005E0AC3">
              <w:rPr>
                <w:rFonts w:cs="Arial"/>
                <w:b/>
                <w:sz w:val="24"/>
                <w:szCs w:val="24"/>
                <w:lang w:val="en-US"/>
              </w:rPr>
              <w:t>Sustainability Impacts:</w:t>
            </w:r>
          </w:p>
          <w:p w14:paraId="49406225" w14:textId="77777777" w:rsidR="00A9502D" w:rsidRPr="005E0AC3" w:rsidRDefault="00A9502D" w:rsidP="00A9502D">
            <w:pPr>
              <w:spacing w:after="0"/>
              <w:rPr>
                <w:rFonts w:cs="Arial"/>
                <w:sz w:val="24"/>
                <w:szCs w:val="24"/>
                <w:lang w:val="en-US"/>
              </w:rPr>
            </w:pPr>
          </w:p>
        </w:tc>
        <w:tc>
          <w:tcPr>
            <w:tcW w:w="5353" w:type="dxa"/>
            <w:shd w:val="clear" w:color="auto" w:fill="auto"/>
          </w:tcPr>
          <w:p w14:paraId="46020247" w14:textId="77777777" w:rsidR="00A9502D" w:rsidRPr="005E0AC3" w:rsidRDefault="00A9502D" w:rsidP="00A9502D">
            <w:pPr>
              <w:spacing w:after="0"/>
              <w:rPr>
                <w:rFonts w:cs="Arial"/>
                <w:sz w:val="24"/>
                <w:szCs w:val="24"/>
                <w:lang w:val="en-US"/>
              </w:rPr>
            </w:pPr>
          </w:p>
        </w:tc>
      </w:tr>
      <w:tr w:rsidR="00A9502D" w:rsidRPr="005E0AC3" w14:paraId="3F989EEB" w14:textId="77777777" w:rsidTr="00A9502D">
        <w:tc>
          <w:tcPr>
            <w:tcW w:w="2848" w:type="dxa"/>
            <w:shd w:val="clear" w:color="auto" w:fill="auto"/>
          </w:tcPr>
          <w:p w14:paraId="6096B008" w14:textId="77777777" w:rsidR="00A9502D" w:rsidRPr="005E0AC3" w:rsidRDefault="00A9502D" w:rsidP="00A9502D">
            <w:pPr>
              <w:spacing w:after="0"/>
              <w:ind w:left="360"/>
              <w:rPr>
                <w:rFonts w:cs="Arial"/>
                <w:i/>
                <w:sz w:val="24"/>
                <w:szCs w:val="24"/>
                <w:lang w:val="en-US"/>
              </w:rPr>
            </w:pPr>
            <w:r w:rsidRPr="005E0AC3">
              <w:rPr>
                <w:rFonts w:cs="Arial"/>
                <w:i/>
                <w:sz w:val="24"/>
                <w:szCs w:val="24"/>
                <w:lang w:val="en-US"/>
              </w:rPr>
              <w:t>Environmental:</w:t>
            </w:r>
          </w:p>
          <w:p w14:paraId="0FEC001F" w14:textId="77777777" w:rsidR="00A9502D" w:rsidRPr="005E0AC3" w:rsidRDefault="00A9502D" w:rsidP="00A9502D">
            <w:pPr>
              <w:spacing w:after="0"/>
              <w:ind w:left="360"/>
              <w:rPr>
                <w:rFonts w:cs="Arial"/>
                <w:sz w:val="24"/>
                <w:szCs w:val="24"/>
                <w:lang w:val="en-US"/>
              </w:rPr>
            </w:pPr>
          </w:p>
        </w:tc>
        <w:tc>
          <w:tcPr>
            <w:tcW w:w="5353" w:type="dxa"/>
            <w:shd w:val="clear" w:color="auto" w:fill="auto"/>
          </w:tcPr>
          <w:p w14:paraId="6BCD573D" w14:textId="632F0B3C" w:rsidR="00A9502D" w:rsidRPr="005E0AC3" w:rsidRDefault="00A9502D" w:rsidP="00A9502D">
            <w:pPr>
              <w:spacing w:after="0"/>
              <w:rPr>
                <w:rFonts w:cs="Arial"/>
                <w:sz w:val="24"/>
                <w:szCs w:val="24"/>
                <w:lang w:val="en-US"/>
              </w:rPr>
            </w:pPr>
            <w:r w:rsidRPr="005E0AC3">
              <w:rPr>
                <w:rFonts w:cs="Arial"/>
                <w:sz w:val="24"/>
                <w:szCs w:val="24"/>
                <w:lang w:val="en-US"/>
              </w:rPr>
              <w:t>None</w:t>
            </w:r>
            <w:r w:rsidR="006C41F5">
              <w:rPr>
                <w:rFonts w:cs="Arial"/>
                <w:sz w:val="24"/>
                <w:szCs w:val="24"/>
                <w:lang w:val="en-US"/>
              </w:rPr>
              <w:t xml:space="preserve"> at this time.</w:t>
            </w:r>
          </w:p>
        </w:tc>
      </w:tr>
      <w:tr w:rsidR="00A9502D" w:rsidRPr="005E0AC3" w14:paraId="23B34E42" w14:textId="77777777" w:rsidTr="00A9502D">
        <w:tc>
          <w:tcPr>
            <w:tcW w:w="2848" w:type="dxa"/>
            <w:shd w:val="clear" w:color="auto" w:fill="auto"/>
          </w:tcPr>
          <w:p w14:paraId="5D157C9A" w14:textId="77777777" w:rsidR="00A9502D" w:rsidRPr="005E0AC3" w:rsidRDefault="00A9502D" w:rsidP="00A9502D">
            <w:pPr>
              <w:spacing w:after="0"/>
              <w:ind w:left="360"/>
              <w:rPr>
                <w:rFonts w:cs="Arial"/>
                <w:i/>
                <w:sz w:val="24"/>
                <w:szCs w:val="24"/>
                <w:lang w:val="en-US"/>
              </w:rPr>
            </w:pPr>
            <w:r w:rsidRPr="005E0AC3">
              <w:rPr>
                <w:rFonts w:cs="Arial"/>
                <w:i/>
                <w:sz w:val="24"/>
                <w:szCs w:val="24"/>
                <w:lang w:val="en-US"/>
              </w:rPr>
              <w:t>Social:</w:t>
            </w:r>
          </w:p>
          <w:p w14:paraId="1C5A1AFB" w14:textId="77777777" w:rsidR="00A9502D" w:rsidRPr="005E0AC3" w:rsidRDefault="00A9502D" w:rsidP="00A9502D">
            <w:pPr>
              <w:spacing w:after="0"/>
              <w:ind w:left="360"/>
              <w:rPr>
                <w:rFonts w:cs="Arial"/>
                <w:sz w:val="24"/>
                <w:szCs w:val="24"/>
                <w:lang w:val="en-US"/>
              </w:rPr>
            </w:pPr>
          </w:p>
        </w:tc>
        <w:tc>
          <w:tcPr>
            <w:tcW w:w="5353" w:type="dxa"/>
            <w:shd w:val="clear" w:color="auto" w:fill="auto"/>
          </w:tcPr>
          <w:p w14:paraId="47C9CC66" w14:textId="1ECEEC38" w:rsidR="00A9502D" w:rsidRPr="005E0AC3" w:rsidRDefault="00A9502D" w:rsidP="00A9502D">
            <w:pPr>
              <w:spacing w:after="0"/>
              <w:rPr>
                <w:rFonts w:cs="Arial"/>
                <w:sz w:val="24"/>
                <w:szCs w:val="24"/>
                <w:lang w:val="en-US"/>
              </w:rPr>
            </w:pPr>
            <w:r w:rsidRPr="005E0AC3">
              <w:rPr>
                <w:rFonts w:cs="Arial"/>
                <w:sz w:val="24"/>
                <w:szCs w:val="24"/>
                <w:lang w:val="en-US"/>
              </w:rPr>
              <w:t>None</w:t>
            </w:r>
            <w:r w:rsidR="006C41F5">
              <w:rPr>
                <w:rFonts w:cs="Arial"/>
                <w:sz w:val="24"/>
                <w:szCs w:val="24"/>
                <w:lang w:val="en-US"/>
              </w:rPr>
              <w:t xml:space="preserve"> at this time.</w:t>
            </w:r>
          </w:p>
        </w:tc>
      </w:tr>
      <w:tr w:rsidR="00A9502D" w:rsidRPr="005E0AC3" w14:paraId="79E5414C" w14:textId="77777777" w:rsidTr="00A9502D">
        <w:tc>
          <w:tcPr>
            <w:tcW w:w="2848" w:type="dxa"/>
            <w:shd w:val="clear" w:color="auto" w:fill="auto"/>
          </w:tcPr>
          <w:p w14:paraId="30CDEE5A" w14:textId="77777777" w:rsidR="00A9502D" w:rsidRPr="005E0AC3" w:rsidRDefault="00A9502D" w:rsidP="00A9502D">
            <w:pPr>
              <w:spacing w:after="0"/>
              <w:ind w:left="360"/>
              <w:rPr>
                <w:rFonts w:cs="Arial"/>
                <w:i/>
                <w:sz w:val="24"/>
                <w:szCs w:val="24"/>
                <w:lang w:val="en-US"/>
              </w:rPr>
            </w:pPr>
            <w:r w:rsidRPr="005E0AC3">
              <w:rPr>
                <w:rFonts w:cs="Arial"/>
                <w:i/>
                <w:sz w:val="24"/>
                <w:szCs w:val="24"/>
                <w:lang w:val="en-US"/>
              </w:rPr>
              <w:t>Economic:</w:t>
            </w:r>
          </w:p>
          <w:p w14:paraId="673DCB42" w14:textId="77777777" w:rsidR="00A9502D" w:rsidRPr="005E0AC3" w:rsidRDefault="00A9502D" w:rsidP="00A9502D">
            <w:pPr>
              <w:spacing w:after="0"/>
              <w:ind w:left="360"/>
              <w:rPr>
                <w:rFonts w:cs="Arial"/>
                <w:sz w:val="24"/>
                <w:szCs w:val="24"/>
                <w:lang w:val="en-US"/>
              </w:rPr>
            </w:pPr>
          </w:p>
        </w:tc>
        <w:tc>
          <w:tcPr>
            <w:tcW w:w="5353" w:type="dxa"/>
            <w:shd w:val="clear" w:color="auto" w:fill="auto"/>
          </w:tcPr>
          <w:p w14:paraId="48AB97A4" w14:textId="0348D7A5" w:rsidR="00A9502D" w:rsidRPr="005E0AC3" w:rsidRDefault="00A9502D" w:rsidP="00A9502D">
            <w:pPr>
              <w:spacing w:after="0"/>
              <w:rPr>
                <w:rFonts w:cs="Arial"/>
                <w:sz w:val="24"/>
                <w:szCs w:val="24"/>
                <w:lang w:val="en-US"/>
              </w:rPr>
            </w:pPr>
            <w:r w:rsidRPr="005E0AC3">
              <w:rPr>
                <w:rFonts w:cs="Arial"/>
                <w:sz w:val="24"/>
                <w:szCs w:val="24"/>
                <w:lang w:val="en-US"/>
              </w:rPr>
              <w:t>None</w:t>
            </w:r>
            <w:r w:rsidR="006C41F5">
              <w:rPr>
                <w:rFonts w:cs="Arial"/>
                <w:sz w:val="24"/>
                <w:szCs w:val="24"/>
                <w:lang w:val="en-US"/>
              </w:rPr>
              <w:t xml:space="preserve"> at this time.</w:t>
            </w:r>
          </w:p>
        </w:tc>
      </w:tr>
    </w:tbl>
    <w:p w14:paraId="6B06EED4" w14:textId="77777777" w:rsidR="005E0AC3" w:rsidRDefault="005E0AC3" w:rsidP="005E0AC3">
      <w:pPr>
        <w:spacing w:after="0"/>
        <w:rPr>
          <w:b/>
          <w:bCs/>
          <w:sz w:val="24"/>
          <w:szCs w:val="24"/>
        </w:rPr>
      </w:pPr>
    </w:p>
    <w:p w14:paraId="412DFB5E" w14:textId="1C735A5D" w:rsidR="00A9502D" w:rsidRPr="006C41F5" w:rsidRDefault="00A9502D" w:rsidP="00A9502D">
      <w:pPr>
        <w:spacing w:after="0"/>
        <w:ind w:left="720"/>
        <w:rPr>
          <w:bCs/>
          <w:sz w:val="24"/>
          <w:szCs w:val="24"/>
        </w:rPr>
      </w:pPr>
      <w:r>
        <w:rPr>
          <w:rFonts w:cs="Arial"/>
          <w:b/>
        </w:rPr>
        <w:t xml:space="preserve">    </w:t>
      </w:r>
      <w:r w:rsidRPr="00854A1C">
        <w:rPr>
          <w:rFonts w:cs="Arial"/>
          <w:b/>
        </w:rPr>
        <w:t>Privacy and Data Protection impacts</w:t>
      </w:r>
      <w:r>
        <w:rPr>
          <w:rFonts w:cs="Arial"/>
          <w:b/>
        </w:rPr>
        <w:t>:</w:t>
      </w:r>
      <w:r w:rsidR="006C41F5">
        <w:rPr>
          <w:rFonts w:cs="Arial"/>
          <w:b/>
        </w:rPr>
        <w:t xml:space="preserve"> </w:t>
      </w:r>
      <w:r w:rsidR="006C41F5" w:rsidRPr="006C41F5">
        <w:rPr>
          <w:rFonts w:cs="Arial"/>
        </w:rPr>
        <w:t>None</w:t>
      </w:r>
      <w:r w:rsidR="006C41F5">
        <w:rPr>
          <w:rFonts w:cs="Arial"/>
        </w:rPr>
        <w:t xml:space="preserve"> at this time. </w:t>
      </w:r>
    </w:p>
    <w:p w14:paraId="1C110ECE" w14:textId="77777777" w:rsidR="00A9502D" w:rsidRPr="005E0AC3" w:rsidRDefault="00A9502D" w:rsidP="005E0AC3">
      <w:pPr>
        <w:spacing w:after="0"/>
        <w:rPr>
          <w:b/>
          <w:bCs/>
          <w:sz w:val="24"/>
          <w:szCs w:val="24"/>
        </w:rPr>
      </w:pPr>
    </w:p>
    <w:p w14:paraId="04051C5A" w14:textId="76CD6AC2" w:rsidR="005E0AC3" w:rsidRPr="005E0AC3" w:rsidRDefault="0008758B" w:rsidP="005E0AC3">
      <w:pPr>
        <w:spacing w:after="0"/>
        <w:rPr>
          <w:rFonts w:cs="Arial"/>
          <w:b/>
          <w:sz w:val="24"/>
          <w:szCs w:val="24"/>
        </w:rPr>
      </w:pPr>
      <w:r>
        <w:rPr>
          <w:rFonts w:cs="Arial"/>
          <w:b/>
          <w:sz w:val="24"/>
          <w:szCs w:val="24"/>
        </w:rPr>
        <w:t>6</w:t>
      </w:r>
      <w:r w:rsidR="005E0AC3" w:rsidRPr="005E0AC3">
        <w:rPr>
          <w:rFonts w:cs="Arial"/>
          <w:b/>
          <w:sz w:val="24"/>
          <w:szCs w:val="24"/>
        </w:rPr>
        <w:tab/>
        <w:t>Recommendations</w:t>
      </w:r>
    </w:p>
    <w:p w14:paraId="5E653322" w14:textId="3737D71D" w:rsidR="006C41F5" w:rsidRPr="00342C93" w:rsidRDefault="005E0AC3" w:rsidP="00342C93">
      <w:pPr>
        <w:spacing w:after="0"/>
        <w:ind w:firstLine="720"/>
        <w:rPr>
          <w:rFonts w:cs="Arial"/>
          <w:sz w:val="24"/>
          <w:szCs w:val="24"/>
          <w:lang w:val="en-US"/>
        </w:rPr>
      </w:pPr>
      <w:r w:rsidRPr="005E0AC3">
        <w:rPr>
          <w:rFonts w:cs="Arial"/>
          <w:sz w:val="24"/>
          <w:szCs w:val="24"/>
          <w:lang w:val="en-US"/>
        </w:rPr>
        <w:lastRenderedPageBreak/>
        <w:t>The Committee is asked</w:t>
      </w:r>
      <w:r w:rsidR="006C41F5">
        <w:rPr>
          <w:rFonts w:cs="Arial"/>
          <w:sz w:val="24"/>
          <w:szCs w:val="24"/>
          <w:lang w:val="en-US"/>
        </w:rPr>
        <w:t>:</w:t>
      </w:r>
    </w:p>
    <w:p w14:paraId="78DB9629" w14:textId="1B735CE0" w:rsidR="006C41F5" w:rsidRPr="0008758B" w:rsidRDefault="0008758B" w:rsidP="0008758B">
      <w:pPr>
        <w:pStyle w:val="ListParagraph"/>
        <w:numPr>
          <w:ilvl w:val="0"/>
          <w:numId w:val="42"/>
        </w:numPr>
        <w:spacing w:after="0"/>
        <w:ind w:left="1080"/>
        <w:rPr>
          <w:rFonts w:cs="Arial"/>
          <w:sz w:val="24"/>
          <w:szCs w:val="24"/>
          <w:lang w:val="en-US"/>
        </w:rPr>
      </w:pPr>
      <w:r>
        <w:rPr>
          <w:rFonts w:cs="Arial"/>
          <w:sz w:val="24"/>
          <w:szCs w:val="24"/>
          <w:lang w:val="en-US"/>
        </w:rPr>
        <w:t>t</w:t>
      </w:r>
      <w:r w:rsidR="0079185B">
        <w:rPr>
          <w:rFonts w:cs="Arial"/>
          <w:sz w:val="24"/>
          <w:szCs w:val="24"/>
          <w:lang w:val="en-US"/>
        </w:rPr>
        <w:t>o consider and comment on</w:t>
      </w:r>
      <w:r w:rsidR="006C41F5" w:rsidRPr="0008758B">
        <w:rPr>
          <w:rFonts w:cs="Arial"/>
          <w:sz w:val="24"/>
          <w:szCs w:val="24"/>
          <w:lang w:val="en-US"/>
        </w:rPr>
        <w:t xml:space="preserve"> the draft </w:t>
      </w:r>
      <w:r>
        <w:rPr>
          <w:rFonts w:cs="Arial"/>
          <w:sz w:val="24"/>
          <w:szCs w:val="24"/>
          <w:lang w:val="en-US"/>
        </w:rPr>
        <w:t xml:space="preserve">response attached at Appendix A; </w:t>
      </w:r>
      <w:r w:rsidR="006C41F5" w:rsidRPr="0008758B">
        <w:rPr>
          <w:rFonts w:cs="Arial"/>
          <w:sz w:val="24"/>
          <w:szCs w:val="24"/>
          <w:lang w:val="en-US"/>
        </w:rPr>
        <w:t>and</w:t>
      </w:r>
    </w:p>
    <w:p w14:paraId="28AC1769" w14:textId="1CFA11C8" w:rsidR="006C41F5" w:rsidRDefault="0008758B" w:rsidP="0008758B">
      <w:pPr>
        <w:pStyle w:val="ListParagraph"/>
        <w:numPr>
          <w:ilvl w:val="0"/>
          <w:numId w:val="42"/>
        </w:numPr>
        <w:spacing w:after="0"/>
        <w:ind w:left="1080"/>
        <w:rPr>
          <w:rFonts w:cs="Arial"/>
          <w:sz w:val="24"/>
          <w:szCs w:val="24"/>
          <w:lang w:val="en-US"/>
        </w:rPr>
      </w:pPr>
      <w:r>
        <w:rPr>
          <w:rFonts w:cs="Arial"/>
          <w:sz w:val="24"/>
          <w:szCs w:val="24"/>
          <w:lang w:val="en-US"/>
        </w:rPr>
        <w:t>t</w:t>
      </w:r>
      <w:r w:rsidR="006C41F5" w:rsidRPr="0008758B">
        <w:rPr>
          <w:rFonts w:cs="Arial"/>
          <w:sz w:val="24"/>
          <w:szCs w:val="24"/>
          <w:lang w:val="en-US"/>
        </w:rPr>
        <w:t xml:space="preserve">o </w:t>
      </w:r>
      <w:r w:rsidRPr="0008758B">
        <w:rPr>
          <w:rFonts w:cs="Arial"/>
          <w:sz w:val="24"/>
          <w:szCs w:val="24"/>
          <w:lang w:val="en-US"/>
        </w:rPr>
        <w:t>approve th</w:t>
      </w:r>
      <w:r>
        <w:rPr>
          <w:rFonts w:cs="Arial"/>
          <w:sz w:val="24"/>
          <w:szCs w:val="24"/>
          <w:lang w:val="en-US"/>
        </w:rPr>
        <w:t>e</w:t>
      </w:r>
      <w:r w:rsidR="00342C93">
        <w:rPr>
          <w:rFonts w:cs="Arial"/>
          <w:sz w:val="24"/>
          <w:szCs w:val="24"/>
          <w:lang w:val="en-US"/>
        </w:rPr>
        <w:t xml:space="preserve"> draft for submission</w:t>
      </w:r>
      <w:r w:rsidRPr="0008758B">
        <w:rPr>
          <w:rFonts w:cs="Arial"/>
          <w:sz w:val="24"/>
          <w:szCs w:val="24"/>
          <w:lang w:val="en-US"/>
        </w:rPr>
        <w:t>.</w:t>
      </w:r>
    </w:p>
    <w:p w14:paraId="691FA11A" w14:textId="77777777" w:rsidR="0008758B" w:rsidRDefault="0008758B" w:rsidP="0008758B">
      <w:pPr>
        <w:pStyle w:val="ListParagraph"/>
        <w:spacing w:after="0"/>
        <w:ind w:left="1080"/>
        <w:rPr>
          <w:rFonts w:cs="Arial"/>
          <w:sz w:val="24"/>
          <w:szCs w:val="24"/>
          <w:lang w:val="en-US"/>
        </w:rPr>
      </w:pPr>
    </w:p>
    <w:p w14:paraId="2C378615" w14:textId="630DE162" w:rsidR="0008758B" w:rsidRPr="0008758B" w:rsidRDefault="0008758B" w:rsidP="00342C93">
      <w:pPr>
        <w:rPr>
          <w:rFonts w:cs="Arial"/>
          <w:sz w:val="24"/>
          <w:szCs w:val="24"/>
          <w:lang w:val="en-US"/>
        </w:rPr>
      </w:pPr>
    </w:p>
    <w:p w14:paraId="5E94ED82" w14:textId="77777777" w:rsidR="0008758B" w:rsidRPr="0008758B" w:rsidRDefault="0008758B" w:rsidP="0008758B">
      <w:pPr>
        <w:spacing w:after="0"/>
        <w:rPr>
          <w:rFonts w:cs="Arial"/>
          <w:sz w:val="24"/>
          <w:szCs w:val="24"/>
          <w:lang w:val="en-US"/>
        </w:rPr>
      </w:pPr>
    </w:p>
    <w:p w14:paraId="625F800B" w14:textId="77777777" w:rsidR="006C41F5" w:rsidRPr="005E0AC3" w:rsidRDefault="006C41F5" w:rsidP="005E0AC3">
      <w:pPr>
        <w:spacing w:after="0"/>
        <w:ind w:firstLine="720"/>
        <w:rPr>
          <w:rFonts w:cs="Arial"/>
          <w:sz w:val="24"/>
          <w:szCs w:val="24"/>
          <w:lang w:val="en-US"/>
        </w:rPr>
      </w:pPr>
    </w:p>
    <w:p w14:paraId="2D6FBB70" w14:textId="69D995FF" w:rsidR="005E0AC3" w:rsidRPr="00342C93" w:rsidRDefault="005E0AC3" w:rsidP="00342C93">
      <w:pPr>
        <w:spacing w:after="0"/>
        <w:rPr>
          <w:rFonts w:cs="Arial"/>
          <w:sz w:val="24"/>
          <w:szCs w:val="24"/>
          <w:lang w:val="en-US"/>
        </w:rPr>
        <w:sectPr w:rsidR="005E0AC3" w:rsidRPr="00342C93">
          <w:headerReference w:type="default" r:id="rId11"/>
          <w:pgSz w:w="11906" w:h="16838"/>
          <w:pgMar w:top="1440" w:right="1440" w:bottom="1440" w:left="1440" w:header="708" w:footer="708" w:gutter="0"/>
          <w:cols w:space="708"/>
          <w:docGrid w:linePitch="360"/>
        </w:sectPr>
      </w:pPr>
    </w:p>
    <w:p w14:paraId="2C9790FE" w14:textId="055C2904" w:rsidR="0026669A" w:rsidRPr="0025081E" w:rsidRDefault="0026669A" w:rsidP="00C22506">
      <w:pPr>
        <w:pStyle w:val="Heading2"/>
      </w:pPr>
      <w:r w:rsidRPr="0025081E">
        <w:lastRenderedPageBreak/>
        <w:t xml:space="preserve">Review of the Structure of the Scottish Local Government Pension </w:t>
      </w:r>
      <w:r w:rsidR="00D669C5">
        <w:t>Scheme</w:t>
      </w:r>
    </w:p>
    <w:p w14:paraId="2C9790FF" w14:textId="77777777"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14:paraId="2C979103" w14:textId="77777777" w:rsidTr="00540254">
        <w:trPr>
          <w:trHeight w:val="3300"/>
        </w:trPr>
        <w:tc>
          <w:tcPr>
            <w:tcW w:w="9320" w:type="dxa"/>
            <w:shd w:val="clear" w:color="auto" w:fill="D9D9D9" w:themeFill="background1" w:themeFillShade="D9"/>
          </w:tcPr>
          <w:p w14:paraId="2C979100" w14:textId="77777777" w:rsidR="00E66357" w:rsidRDefault="00E66357" w:rsidP="00E66357">
            <w:pPr>
              <w:spacing w:after="0"/>
              <w:ind w:left="102"/>
              <w:rPr>
                <w:b/>
              </w:rPr>
            </w:pPr>
          </w:p>
          <w:p w14:paraId="2C979101" w14:textId="77777777"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12"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14:paraId="2C979102" w14:textId="77777777"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14:paraId="2C979104" w14:textId="77777777" w:rsidR="00540254" w:rsidRDefault="00540254" w:rsidP="0026669A">
      <w:pPr>
        <w:rPr>
          <w:b/>
        </w:rPr>
      </w:pPr>
    </w:p>
    <w:p w14:paraId="2C979105" w14:textId="77777777"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1"/>
        <w:gridCol w:w="2805"/>
      </w:tblGrid>
      <w:tr w:rsidR="00E61E31" w14:paraId="2C979108" w14:textId="77777777" w:rsidTr="00AB321D">
        <w:trPr>
          <w:trHeight w:val="1892"/>
        </w:trPr>
        <w:tc>
          <w:tcPr>
            <w:tcW w:w="6221" w:type="dxa"/>
            <w:tcBorders>
              <w:top w:val="nil"/>
              <w:left w:val="nil"/>
              <w:bottom w:val="single" w:sz="4" w:space="0" w:color="auto"/>
              <w:right w:val="nil"/>
            </w:tcBorders>
          </w:tcPr>
          <w:p w14:paraId="2C979106" w14:textId="77777777"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05" w:type="dxa"/>
            <w:tcBorders>
              <w:top w:val="nil"/>
              <w:left w:val="nil"/>
              <w:bottom w:val="single" w:sz="4" w:space="0" w:color="auto"/>
              <w:right w:val="nil"/>
            </w:tcBorders>
          </w:tcPr>
          <w:p w14:paraId="2C979107" w14:textId="77777777"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14:paraId="2C97910D" w14:textId="77777777" w:rsidTr="009A675B">
        <w:tc>
          <w:tcPr>
            <w:tcW w:w="6345" w:type="dxa"/>
            <w:tcBorders>
              <w:bottom w:val="single" w:sz="4" w:space="0" w:color="auto"/>
            </w:tcBorders>
          </w:tcPr>
          <w:p w14:paraId="2C979109" w14:textId="77777777" w:rsidR="00E61E31" w:rsidRPr="009A675B" w:rsidRDefault="00616BC9" w:rsidP="00F94895">
            <w:r>
              <w:lastRenderedPageBreak/>
              <w:t>f</w:t>
            </w:r>
            <w:r w:rsidR="00E66357">
              <w:t xml:space="preserve">ull </w:t>
            </w:r>
            <w:r w:rsidR="009A675B" w:rsidRPr="009A675B">
              <w:t>names of responding organisations</w:t>
            </w:r>
          </w:p>
          <w:p w14:paraId="2C97910A" w14:textId="3A839A99" w:rsidR="00E61E31" w:rsidRPr="00F94895" w:rsidRDefault="00342C93" w:rsidP="00F94895">
            <w:pPr>
              <w:rPr>
                <w:b/>
              </w:rPr>
            </w:pPr>
            <w:r>
              <w:rPr>
                <w:b/>
              </w:rPr>
              <w:t xml:space="preserve">Glasgow City Council </w:t>
            </w:r>
          </w:p>
        </w:tc>
        <w:tc>
          <w:tcPr>
            <w:tcW w:w="2835" w:type="dxa"/>
            <w:tcBorders>
              <w:bottom w:val="single" w:sz="4" w:space="0" w:color="auto"/>
            </w:tcBorders>
          </w:tcPr>
          <w:p w14:paraId="2C97910B" w14:textId="77777777" w:rsidR="00F94895" w:rsidRDefault="00F94895" w:rsidP="00F94895">
            <w:pPr>
              <w:rPr>
                <w:b/>
              </w:rPr>
            </w:pPr>
          </w:p>
          <w:p w14:paraId="2C97910C" w14:textId="77777777" w:rsidR="00E61E31" w:rsidRPr="00F94895" w:rsidRDefault="00F94895" w:rsidP="00F94895">
            <w:pPr>
              <w:rPr>
                <w:b/>
                <w:color w:val="BFBFBF" w:themeColor="background1" w:themeShade="BF"/>
              </w:rPr>
            </w:pPr>
            <w:r w:rsidRPr="00F94895">
              <w:rPr>
                <w:b/>
              </w:rPr>
              <w:t xml:space="preserve">Administering </w:t>
            </w:r>
            <w:r>
              <w:rPr>
                <w:b/>
              </w:rPr>
              <w:t>A</w:t>
            </w:r>
            <w:r w:rsidRPr="00F94895">
              <w:rPr>
                <w:b/>
              </w:rPr>
              <w:t>uthority</w:t>
            </w:r>
          </w:p>
        </w:tc>
      </w:tr>
      <w:tr w:rsidR="00E61E31" w14:paraId="2C979112" w14:textId="77777777" w:rsidTr="009A675B">
        <w:tc>
          <w:tcPr>
            <w:tcW w:w="6345" w:type="dxa"/>
            <w:tcBorders>
              <w:top w:val="single" w:sz="4" w:space="0" w:color="auto"/>
              <w:left w:val="nil"/>
              <w:right w:val="nil"/>
            </w:tcBorders>
          </w:tcPr>
          <w:p w14:paraId="2C97910E" w14:textId="77777777" w:rsidR="009A675B" w:rsidRDefault="009A675B" w:rsidP="00E61E31"/>
          <w:p w14:paraId="2C97910F" w14:textId="77777777"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14:paraId="2C979110" w14:textId="77777777" w:rsidR="009A675B" w:rsidRDefault="009A675B" w:rsidP="00D91E43"/>
          <w:p w14:paraId="2C979111" w14:textId="77777777"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14:paraId="2C979116" w14:textId="77777777" w:rsidTr="00513272">
        <w:tc>
          <w:tcPr>
            <w:tcW w:w="6345" w:type="dxa"/>
            <w:tcBorders>
              <w:bottom w:val="single" w:sz="4" w:space="0" w:color="auto"/>
            </w:tcBorders>
          </w:tcPr>
          <w:p w14:paraId="2C979113" w14:textId="2BD08000" w:rsidR="00E61E31" w:rsidRPr="00F94895" w:rsidRDefault="00342C93" w:rsidP="00F94895">
            <w:pPr>
              <w:rPr>
                <w:b/>
              </w:rPr>
            </w:pPr>
            <w:r>
              <w:rPr>
                <w:b/>
              </w:rPr>
              <w:t>Martin Booth, Executive Director of Finance, Glasgow City Council</w:t>
            </w:r>
            <w:r w:rsidR="00F94895" w:rsidRPr="00F94895">
              <w:rPr>
                <w:b/>
              </w:rPr>
              <w:t xml:space="preserve">  </w:t>
            </w:r>
            <w:r w:rsidR="00DF6507">
              <w:rPr>
                <w:b/>
              </w:rPr>
              <w:t>(GCC)</w:t>
            </w:r>
            <w:bookmarkStart w:id="0" w:name="_GoBack"/>
            <w:bookmarkEnd w:id="0"/>
          </w:p>
          <w:p w14:paraId="2C979114" w14:textId="77777777" w:rsidR="009A675B" w:rsidRDefault="009A675B" w:rsidP="0026669A"/>
        </w:tc>
        <w:tc>
          <w:tcPr>
            <w:tcW w:w="2835" w:type="dxa"/>
            <w:tcBorders>
              <w:bottom w:val="single" w:sz="4" w:space="0" w:color="auto"/>
            </w:tcBorders>
          </w:tcPr>
          <w:p w14:paraId="2C979115" w14:textId="77777777" w:rsidR="00E61E31" w:rsidRPr="00F94895" w:rsidRDefault="00F94895" w:rsidP="00F94895">
            <w:pPr>
              <w:rPr>
                <w:b/>
              </w:rPr>
            </w:pPr>
            <w:r w:rsidRPr="00F94895">
              <w:rPr>
                <w:b/>
              </w:rPr>
              <w:t>confirm</w:t>
            </w:r>
          </w:p>
        </w:tc>
      </w:tr>
      <w:tr w:rsidR="00513272" w14:paraId="2C979119" w14:textId="77777777" w:rsidTr="00513272">
        <w:tc>
          <w:tcPr>
            <w:tcW w:w="6345" w:type="dxa"/>
            <w:tcBorders>
              <w:left w:val="nil"/>
              <w:bottom w:val="nil"/>
              <w:right w:val="nil"/>
            </w:tcBorders>
          </w:tcPr>
          <w:p w14:paraId="2C979117" w14:textId="77777777"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14:paraId="2C979118" w14:textId="77777777" w:rsidR="00513272" w:rsidRPr="009A675B" w:rsidRDefault="00513272" w:rsidP="0026669A">
            <w:pPr>
              <w:rPr>
                <w:color w:val="BFBFBF" w:themeColor="background1" w:themeShade="BF"/>
              </w:rPr>
            </w:pPr>
          </w:p>
        </w:tc>
      </w:tr>
      <w:tr w:rsidR="00E61E31" w14:paraId="2C97911C" w14:textId="77777777" w:rsidTr="00513272">
        <w:tc>
          <w:tcPr>
            <w:tcW w:w="6345" w:type="dxa"/>
            <w:tcBorders>
              <w:top w:val="nil"/>
              <w:left w:val="nil"/>
              <w:bottom w:val="nil"/>
            </w:tcBorders>
          </w:tcPr>
          <w:p w14:paraId="2C97911A" w14:textId="77777777"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14:paraId="2C97911B" w14:textId="77777777" w:rsidR="00E61E31" w:rsidRDefault="009A675B" w:rsidP="0026669A">
            <w:r w:rsidRPr="009A675B">
              <w:rPr>
                <w:color w:val="BFBFBF" w:themeColor="background1" w:themeShade="BF"/>
              </w:rPr>
              <w:t>date</w:t>
            </w:r>
          </w:p>
        </w:tc>
      </w:tr>
      <w:tr w:rsidR="00E61E31" w14:paraId="2C979120" w14:textId="77777777" w:rsidTr="009A675B">
        <w:tc>
          <w:tcPr>
            <w:tcW w:w="9180" w:type="dxa"/>
            <w:gridSpan w:val="2"/>
            <w:tcBorders>
              <w:top w:val="nil"/>
              <w:left w:val="nil"/>
              <w:right w:val="nil"/>
            </w:tcBorders>
          </w:tcPr>
          <w:p w14:paraId="2C97911F" w14:textId="77777777"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14:paraId="2C979124" w14:textId="77777777" w:rsidTr="00AB321D">
        <w:tc>
          <w:tcPr>
            <w:tcW w:w="9026" w:type="dxa"/>
            <w:gridSpan w:val="2"/>
          </w:tcPr>
          <w:p w14:paraId="3B688DE0" w14:textId="2AD80775" w:rsidR="00866DCD" w:rsidRPr="006018C2" w:rsidRDefault="00866DCD" w:rsidP="00866DCD">
            <w:pPr>
              <w:rPr>
                <w:color w:val="17365D" w:themeColor="text2" w:themeShade="BF"/>
              </w:rPr>
            </w:pPr>
            <w:r w:rsidRPr="006018C2">
              <w:rPr>
                <w:color w:val="17365D" w:themeColor="text2" w:themeShade="BF"/>
              </w:rPr>
              <w:t>Glasgow City Council is the Administering Authority for the Strathclyde Pension Fund.</w:t>
            </w:r>
          </w:p>
          <w:p w14:paraId="2C979123" w14:textId="77777777" w:rsidR="009A675B" w:rsidRDefault="009A675B" w:rsidP="00F900A9"/>
        </w:tc>
      </w:tr>
    </w:tbl>
    <w:p w14:paraId="2C97912E" w14:textId="77777777" w:rsidR="00513272" w:rsidRDefault="00513272">
      <w:pPr>
        <w:spacing w:after="200" w:line="276" w:lineRule="auto"/>
      </w:pPr>
      <w:r>
        <w:lastRenderedPageBreak/>
        <w:br w:type="page"/>
      </w:r>
    </w:p>
    <w:tbl>
      <w:tblPr>
        <w:tblStyle w:val="TableGrid"/>
        <w:tblW w:w="0" w:type="auto"/>
        <w:tblLook w:val="04A0" w:firstRow="1" w:lastRow="0" w:firstColumn="1" w:lastColumn="0" w:noHBand="0" w:noVBand="1"/>
      </w:tblPr>
      <w:tblGrid>
        <w:gridCol w:w="9026"/>
      </w:tblGrid>
      <w:tr w:rsidR="00513272" w14:paraId="2C979132" w14:textId="77777777" w:rsidTr="00F3009F">
        <w:tc>
          <w:tcPr>
            <w:tcW w:w="9180" w:type="dxa"/>
            <w:tcBorders>
              <w:top w:val="nil"/>
              <w:left w:val="nil"/>
              <w:right w:val="nil"/>
            </w:tcBorders>
          </w:tcPr>
          <w:p w14:paraId="2C97912F" w14:textId="77777777" w:rsidR="002E3B85" w:rsidRPr="00095FE2" w:rsidRDefault="002E3B85" w:rsidP="002E3B85">
            <w:pPr>
              <w:rPr>
                <w:b/>
                <w:sz w:val="24"/>
              </w:rPr>
            </w:pPr>
            <w:r w:rsidRPr="00095FE2">
              <w:rPr>
                <w:b/>
                <w:sz w:val="24"/>
              </w:rPr>
              <w:lastRenderedPageBreak/>
              <w:t>CONSULTATION QUESTIONS</w:t>
            </w:r>
          </w:p>
          <w:p w14:paraId="2C979130" w14:textId="77777777" w:rsidR="000C4E12" w:rsidRDefault="00513272" w:rsidP="000C4E12">
            <w:pPr>
              <w:pStyle w:val="Heading2"/>
              <w:outlineLvl w:val="1"/>
            </w:pPr>
            <w:r>
              <w:t>Question 1:</w:t>
            </w:r>
            <w:r w:rsidR="004B2A40">
              <w:t xml:space="preserve"> </w:t>
            </w:r>
            <w:r w:rsidR="004B2A40" w:rsidRPr="004B2A40">
              <w:t>Retain the current structure with 11 funds</w:t>
            </w:r>
          </w:p>
          <w:p w14:paraId="2C979131" w14:textId="77777777"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14:paraId="2C97916C" w14:textId="77777777" w:rsidTr="00F3009F">
        <w:tc>
          <w:tcPr>
            <w:tcW w:w="9180" w:type="dxa"/>
          </w:tcPr>
          <w:p w14:paraId="2C979133" w14:textId="77777777" w:rsidR="00CB2A52" w:rsidRPr="004F5BA0" w:rsidRDefault="00CB2A52" w:rsidP="00F15DA6">
            <w:pPr>
              <w:pStyle w:val="ListNumber"/>
            </w:pPr>
            <w:r w:rsidRPr="004F5BA0">
              <w:t xml:space="preserve">Cost of investing: </w:t>
            </w:r>
          </w:p>
          <w:p w14:paraId="2C979134" w14:textId="77777777"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14:paraId="483FA5FF" w14:textId="0BBB6294" w:rsidR="0079185B" w:rsidRPr="00754915" w:rsidRDefault="0079185B" w:rsidP="004D25CB">
            <w:pPr>
              <w:rPr>
                <w:color w:val="17365D" w:themeColor="text2" w:themeShade="BF"/>
                <w:lang w:val="en-US"/>
              </w:rPr>
            </w:pPr>
            <w:r>
              <w:rPr>
                <w:color w:val="17365D" w:themeColor="text2" w:themeShade="BF"/>
                <w:lang w:val="en-US"/>
              </w:rPr>
              <w:t>The investment industry has not been entirely transparent in respect of costs</w:t>
            </w:r>
            <w:r w:rsidR="00754915">
              <w:rPr>
                <w:color w:val="17365D" w:themeColor="text2" w:themeShade="BF"/>
                <w:lang w:val="en-US"/>
              </w:rPr>
              <w:t>, though there has been some improvement in recent years</w:t>
            </w:r>
            <w:r>
              <w:rPr>
                <w:color w:val="17365D" w:themeColor="text2" w:themeShade="BF"/>
                <w:lang w:val="en-US"/>
              </w:rPr>
              <w:t xml:space="preserve">. </w:t>
            </w:r>
            <w:r w:rsidR="00754915">
              <w:rPr>
                <w:color w:val="17365D" w:themeColor="text2" w:themeShade="BF"/>
                <w:lang w:val="en-US"/>
              </w:rPr>
              <w:t xml:space="preserve">In 2014, CIPFA published guidance on </w:t>
            </w:r>
            <w:r w:rsidR="00754915" w:rsidRPr="004D25CB">
              <w:rPr>
                <w:i/>
                <w:color w:val="17365D" w:themeColor="text2" w:themeShade="BF"/>
                <w:lang w:val="en-US"/>
              </w:rPr>
              <w:t>Accounting for Local Government Pension Scheme Management Expenses</w:t>
            </w:r>
            <w:r w:rsidR="00754915">
              <w:rPr>
                <w:i/>
                <w:color w:val="17365D" w:themeColor="text2" w:themeShade="BF"/>
                <w:lang w:val="en-US"/>
              </w:rPr>
              <w:t xml:space="preserve"> </w:t>
            </w:r>
            <w:r w:rsidR="00754915">
              <w:rPr>
                <w:color w:val="17365D" w:themeColor="text2" w:themeShade="BF"/>
                <w:lang w:val="en-US"/>
              </w:rPr>
              <w:t>in an effort to achieve full disclosure of costs on a comparable basis between pension funds. The guidance was revised and re-issued in 2016.</w:t>
            </w:r>
          </w:p>
          <w:p w14:paraId="2C979135" w14:textId="24A540AC" w:rsidR="00AC4147" w:rsidRDefault="004D25CB" w:rsidP="004D25CB">
            <w:pPr>
              <w:rPr>
                <w:color w:val="17365D" w:themeColor="text2" w:themeShade="BF"/>
                <w:lang w:val="en-US"/>
              </w:rPr>
            </w:pPr>
            <w:r>
              <w:rPr>
                <w:color w:val="17365D" w:themeColor="text2" w:themeShade="BF"/>
                <w:lang w:val="en-US"/>
              </w:rPr>
              <w:t xml:space="preserve">Strathclyde Pension Fund (SPF) </w:t>
            </w:r>
            <w:r w:rsidR="00754915">
              <w:rPr>
                <w:color w:val="17365D" w:themeColor="text2" w:themeShade="BF"/>
                <w:lang w:val="en-US"/>
              </w:rPr>
              <w:t xml:space="preserve">has </w:t>
            </w:r>
            <w:r>
              <w:rPr>
                <w:color w:val="17365D" w:themeColor="text2" w:themeShade="BF"/>
                <w:lang w:val="en-US"/>
              </w:rPr>
              <w:t>complie</w:t>
            </w:r>
            <w:r w:rsidR="00754915">
              <w:rPr>
                <w:color w:val="17365D" w:themeColor="text2" w:themeShade="BF"/>
                <w:lang w:val="en-US"/>
              </w:rPr>
              <w:t>d</w:t>
            </w:r>
            <w:r>
              <w:rPr>
                <w:color w:val="17365D" w:themeColor="text2" w:themeShade="BF"/>
                <w:lang w:val="en-US"/>
              </w:rPr>
              <w:t xml:space="preserve"> fully with </w:t>
            </w:r>
            <w:r w:rsidR="00754915">
              <w:rPr>
                <w:color w:val="17365D" w:themeColor="text2" w:themeShade="BF"/>
                <w:lang w:val="en-US"/>
              </w:rPr>
              <w:t xml:space="preserve">the </w:t>
            </w:r>
            <w:r>
              <w:rPr>
                <w:color w:val="17365D" w:themeColor="text2" w:themeShade="BF"/>
                <w:lang w:val="en-US"/>
              </w:rPr>
              <w:t>CIPFA guidance</w:t>
            </w:r>
            <w:r w:rsidR="00754915">
              <w:rPr>
                <w:color w:val="17365D" w:themeColor="text2" w:themeShade="BF"/>
                <w:lang w:val="en-US"/>
              </w:rPr>
              <w:t xml:space="preserve"> since initial publication</w:t>
            </w:r>
            <w:r>
              <w:rPr>
                <w:i/>
                <w:color w:val="17365D" w:themeColor="text2" w:themeShade="BF"/>
                <w:lang w:val="en-US"/>
              </w:rPr>
              <w:t>.</w:t>
            </w:r>
            <w:r>
              <w:rPr>
                <w:color w:val="17365D" w:themeColor="text2" w:themeShade="BF"/>
                <w:lang w:val="en-US"/>
              </w:rPr>
              <w:t xml:space="preserve"> </w:t>
            </w:r>
            <w:r w:rsidR="00AC4147">
              <w:rPr>
                <w:color w:val="17365D" w:themeColor="text2" w:themeShade="BF"/>
                <w:lang w:val="en-US"/>
              </w:rPr>
              <w:t>A</w:t>
            </w:r>
            <w:r>
              <w:rPr>
                <w:color w:val="17365D" w:themeColor="text2" w:themeShade="BF"/>
                <w:lang w:val="en-US"/>
              </w:rPr>
              <w:t>ll investment management costs</w:t>
            </w:r>
            <w:r w:rsidR="00AC4147">
              <w:rPr>
                <w:color w:val="17365D" w:themeColor="text2" w:themeShade="BF"/>
                <w:lang w:val="en-US"/>
              </w:rPr>
              <w:t xml:space="preserve"> are recogni</w:t>
            </w:r>
            <w:r w:rsidR="00733DA3">
              <w:rPr>
                <w:color w:val="17365D" w:themeColor="text2" w:themeShade="BF"/>
                <w:lang w:val="en-US"/>
              </w:rPr>
              <w:t>s</w:t>
            </w:r>
            <w:r w:rsidR="00AC4147">
              <w:rPr>
                <w:color w:val="17365D" w:themeColor="text2" w:themeShade="BF"/>
                <w:lang w:val="en-US"/>
              </w:rPr>
              <w:t>ed, measured and disclosed in the Fund Account in line with th</w:t>
            </w:r>
            <w:r w:rsidR="00754915">
              <w:rPr>
                <w:color w:val="17365D" w:themeColor="text2" w:themeShade="BF"/>
                <w:lang w:val="en-US"/>
              </w:rPr>
              <w:t>e</w:t>
            </w:r>
            <w:r w:rsidR="00AC4147">
              <w:rPr>
                <w:color w:val="17365D" w:themeColor="text2" w:themeShade="BF"/>
                <w:lang w:val="en-US"/>
              </w:rPr>
              <w:t xml:space="preserve"> guidance</w:t>
            </w:r>
            <w:r w:rsidR="00754915">
              <w:rPr>
                <w:color w:val="17365D" w:themeColor="text2" w:themeShade="BF"/>
                <w:lang w:val="en-US"/>
              </w:rPr>
              <w:t>. This includes costs</w:t>
            </w:r>
            <w:r w:rsidR="00F94895">
              <w:rPr>
                <w:color w:val="17365D" w:themeColor="text2" w:themeShade="BF"/>
                <w:lang w:val="en-US"/>
              </w:rPr>
              <w:t xml:space="preserve"> which are sometimes described as “hidden”</w:t>
            </w:r>
            <w:r w:rsidR="00754915">
              <w:rPr>
                <w:color w:val="17365D" w:themeColor="text2" w:themeShade="BF"/>
                <w:lang w:val="en-US"/>
              </w:rPr>
              <w:t xml:space="preserve"> and are </w:t>
            </w:r>
            <w:r w:rsidR="00E226BF">
              <w:rPr>
                <w:color w:val="17365D" w:themeColor="text2" w:themeShade="BF"/>
                <w:lang w:val="en-US"/>
              </w:rPr>
              <w:t xml:space="preserve">not </w:t>
            </w:r>
            <w:r w:rsidR="00754915">
              <w:rPr>
                <w:color w:val="17365D" w:themeColor="text2" w:themeShade="BF"/>
                <w:lang w:val="en-US"/>
              </w:rPr>
              <w:t xml:space="preserve">currently provided </w:t>
            </w:r>
            <w:r w:rsidR="00E226BF">
              <w:rPr>
                <w:color w:val="17365D" w:themeColor="text2" w:themeShade="BF"/>
                <w:lang w:val="en-US"/>
              </w:rPr>
              <w:t xml:space="preserve">as standard </w:t>
            </w:r>
            <w:r w:rsidR="00754915">
              <w:rPr>
                <w:color w:val="17365D" w:themeColor="text2" w:themeShade="BF"/>
                <w:lang w:val="en-US"/>
              </w:rPr>
              <w:t>by investment managers</w:t>
            </w:r>
            <w:r w:rsidR="00AC4147">
              <w:rPr>
                <w:color w:val="17365D" w:themeColor="text2" w:themeShade="BF"/>
                <w:lang w:val="en-US"/>
              </w:rPr>
              <w:t>. T</w:t>
            </w:r>
            <w:r w:rsidR="00733DA3">
              <w:rPr>
                <w:color w:val="17365D" w:themeColor="text2" w:themeShade="BF"/>
                <w:lang w:val="en-US"/>
              </w:rPr>
              <w:t xml:space="preserve">otal disclosed expenses </w:t>
            </w:r>
            <w:r w:rsidR="00E226BF">
              <w:rPr>
                <w:color w:val="17365D" w:themeColor="text2" w:themeShade="BF"/>
                <w:lang w:val="en-US"/>
              </w:rPr>
              <w:t xml:space="preserve">for SPF </w:t>
            </w:r>
            <w:r w:rsidR="00AC4147">
              <w:rPr>
                <w:color w:val="17365D" w:themeColor="text2" w:themeShade="BF"/>
                <w:lang w:val="en-US"/>
              </w:rPr>
              <w:t>include management fees, management fees in pooled funds, performance fees, and transaction costs.</w:t>
            </w:r>
          </w:p>
          <w:p w14:paraId="2C979136" w14:textId="77777777" w:rsidR="00AC4147" w:rsidRDefault="00AC4147" w:rsidP="004D25CB">
            <w:pPr>
              <w:rPr>
                <w:color w:val="17365D" w:themeColor="text2" w:themeShade="BF"/>
                <w:lang w:val="en-US"/>
              </w:rPr>
            </w:pPr>
            <w:r>
              <w:rPr>
                <w:color w:val="17365D" w:themeColor="text2" w:themeShade="BF"/>
                <w:lang w:val="en-US"/>
              </w:rPr>
              <w:t>SPF also participates in a number of cost and performance benchmarking exercises. The results are generally not published, but SPF would have no objection to publication.</w:t>
            </w:r>
          </w:p>
          <w:p w14:paraId="2C979137" w14:textId="77777777"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14:paraId="2C979138" w14:textId="128F8FC0" w:rsidR="006C2D94" w:rsidRDefault="006C2D94" w:rsidP="00AC4147">
            <w:pPr>
              <w:rPr>
                <w:color w:val="17365D" w:themeColor="text2" w:themeShade="BF"/>
                <w:lang w:val="en-US"/>
              </w:rPr>
            </w:pPr>
            <w:r w:rsidRPr="006C2D94">
              <w:rPr>
                <w:color w:val="17365D" w:themeColor="text2" w:themeShade="BF"/>
                <w:lang w:val="en-US"/>
              </w:rPr>
              <w:t>T</w:t>
            </w:r>
            <w:r>
              <w:rPr>
                <w:color w:val="17365D" w:themeColor="text2" w:themeShade="BF"/>
                <w:lang w:val="en-US"/>
              </w:rPr>
              <w:t xml:space="preserve">he Financial Conduct Authority’s </w:t>
            </w:r>
            <w:r w:rsidR="00612995">
              <w:rPr>
                <w:color w:val="17365D" w:themeColor="text2" w:themeShade="BF"/>
                <w:lang w:val="en-US"/>
              </w:rPr>
              <w:t xml:space="preserve">(FCA) </w:t>
            </w:r>
            <w:r>
              <w:rPr>
                <w:color w:val="17365D" w:themeColor="text2" w:themeShade="BF"/>
                <w:lang w:val="en-US"/>
              </w:rPr>
              <w:t xml:space="preserve">recent final report on </w:t>
            </w:r>
            <w:r w:rsidR="00754915">
              <w:rPr>
                <w:color w:val="17365D" w:themeColor="text2" w:themeShade="BF"/>
                <w:lang w:val="en-US"/>
              </w:rPr>
              <w:t>its</w:t>
            </w:r>
            <w:r>
              <w:rPr>
                <w:color w:val="17365D" w:themeColor="text2" w:themeShade="BF"/>
                <w:lang w:val="en-US"/>
              </w:rPr>
              <w:t xml:space="preserve"> </w:t>
            </w:r>
            <w:r w:rsidRPr="00612995">
              <w:rPr>
                <w:i/>
                <w:color w:val="17365D" w:themeColor="text2" w:themeShade="BF"/>
                <w:lang w:val="en-US"/>
              </w:rPr>
              <w:t>Asset Management Market Study</w:t>
            </w:r>
            <w:r w:rsidR="00F94895">
              <w:rPr>
                <w:color w:val="17365D" w:themeColor="text2" w:themeShade="BF"/>
                <w:lang w:val="en-US"/>
              </w:rPr>
              <w:t xml:space="preserve">, which is referred to in the Scheme Advisory Board </w:t>
            </w:r>
            <w:r w:rsidR="00815A78">
              <w:rPr>
                <w:color w:val="17365D" w:themeColor="text2" w:themeShade="BF"/>
                <w:lang w:val="en-US"/>
              </w:rPr>
              <w:t xml:space="preserve">(SAB) </w:t>
            </w:r>
            <w:r w:rsidR="00F94895">
              <w:rPr>
                <w:color w:val="17365D" w:themeColor="text2" w:themeShade="BF"/>
                <w:lang w:val="en-US"/>
              </w:rPr>
              <w:t xml:space="preserve">structural review report, </w:t>
            </w:r>
            <w:r>
              <w:rPr>
                <w:color w:val="17365D" w:themeColor="text2" w:themeShade="BF"/>
                <w:lang w:val="en-US"/>
              </w:rPr>
              <w:t xml:space="preserve">highlights a number of weaknesses in the current </w:t>
            </w:r>
            <w:r w:rsidR="00F94895">
              <w:rPr>
                <w:color w:val="17365D" w:themeColor="text2" w:themeShade="BF"/>
                <w:lang w:val="en-US"/>
              </w:rPr>
              <w:t xml:space="preserve">asset management </w:t>
            </w:r>
            <w:r>
              <w:rPr>
                <w:color w:val="17365D" w:themeColor="text2" w:themeShade="BF"/>
                <w:lang w:val="en-US"/>
              </w:rPr>
              <w:t>system</w:t>
            </w:r>
            <w:r w:rsidR="00F94895">
              <w:rPr>
                <w:color w:val="17365D" w:themeColor="text2" w:themeShade="BF"/>
                <w:lang w:val="en-US"/>
              </w:rPr>
              <w:t xml:space="preserve"> in the UK</w:t>
            </w:r>
            <w:r>
              <w:rPr>
                <w:color w:val="17365D" w:themeColor="text2" w:themeShade="BF"/>
                <w:lang w:val="en-US"/>
              </w:rPr>
              <w:t>. These include weak price competition, a lack of transparency, and a lack of alignment of fees and performance. These issues apply particularly to small, retail investors.</w:t>
            </w:r>
            <w:r w:rsidR="0014429F">
              <w:rPr>
                <w:color w:val="17365D" w:themeColor="text2" w:themeShade="BF"/>
                <w:lang w:val="en-US"/>
              </w:rPr>
              <w:t xml:space="preserve"> (There are 33,000 DC pension schemes in the UK with less than 11 members.) </w:t>
            </w:r>
            <w:r>
              <w:rPr>
                <w:color w:val="17365D" w:themeColor="text2" w:themeShade="BF"/>
                <w:lang w:val="en-US"/>
              </w:rPr>
              <w:t xml:space="preserve"> The report confirmed that large institutional investors </w:t>
            </w:r>
            <w:r w:rsidRPr="00F94895">
              <w:rPr>
                <w:color w:val="17365D" w:themeColor="text2" w:themeShade="BF"/>
                <w:u w:val="single"/>
                <w:lang w:val="en-US"/>
              </w:rPr>
              <w:t>are</w:t>
            </w:r>
            <w:r>
              <w:rPr>
                <w:color w:val="17365D" w:themeColor="text2" w:themeShade="BF"/>
                <w:lang w:val="en-US"/>
              </w:rPr>
              <w:t xml:space="preserve"> able to negotiate very effectively and get good value for money.</w:t>
            </w:r>
            <w:r w:rsidR="0014429F">
              <w:rPr>
                <w:color w:val="17365D" w:themeColor="text2" w:themeShade="BF"/>
                <w:lang w:val="en-US"/>
              </w:rPr>
              <w:t xml:space="preserve"> In this context, Local Government Pension Scheme (LGPS) funds are all large investors.</w:t>
            </w:r>
          </w:p>
          <w:p w14:paraId="2C979139" w14:textId="77777777" w:rsidR="00421F9A" w:rsidRDefault="0014429F" w:rsidP="00AC4147">
            <w:pPr>
              <w:rPr>
                <w:color w:val="17365D" w:themeColor="text2" w:themeShade="BF"/>
                <w:lang w:val="en-US"/>
              </w:rPr>
            </w:pPr>
            <w:r>
              <w:rPr>
                <w:color w:val="17365D" w:themeColor="text2" w:themeShade="BF"/>
                <w:lang w:val="en-US"/>
              </w:rPr>
              <w:t>LGPS funds also benefit from other public sector disciplines including open competitive tendering</w:t>
            </w:r>
            <w:r w:rsidR="00421F9A">
              <w:rPr>
                <w:color w:val="17365D" w:themeColor="text2" w:themeShade="BF"/>
                <w:lang w:val="en-US"/>
              </w:rPr>
              <w:t xml:space="preserve">, a value for money ethos, </w:t>
            </w:r>
            <w:r>
              <w:rPr>
                <w:color w:val="17365D" w:themeColor="text2" w:themeShade="BF"/>
                <w:lang w:val="en-US"/>
              </w:rPr>
              <w:t xml:space="preserve">and high levels of scrutiny and transparency in comparison to corporate funds. </w:t>
            </w:r>
          </w:p>
          <w:p w14:paraId="2C97913A" w14:textId="77777777" w:rsidR="0014429F" w:rsidRDefault="00421F9A" w:rsidP="00AC4147">
            <w:pPr>
              <w:rPr>
                <w:color w:val="17365D" w:themeColor="text2" w:themeShade="BF"/>
                <w:lang w:val="en-US"/>
              </w:rPr>
            </w:pPr>
            <w:r>
              <w:rPr>
                <w:color w:val="17365D" w:themeColor="text2" w:themeShade="BF"/>
                <w:lang w:val="en-US"/>
              </w:rPr>
              <w:t xml:space="preserve">SPF maintains these disciplines, and also benefits from </w:t>
            </w:r>
            <w:r w:rsidR="00733DA3">
              <w:rPr>
                <w:color w:val="17365D" w:themeColor="text2" w:themeShade="BF"/>
                <w:lang w:val="en-US"/>
              </w:rPr>
              <w:t xml:space="preserve">very </w:t>
            </w:r>
            <w:r>
              <w:rPr>
                <w:color w:val="17365D" w:themeColor="text2" w:themeShade="BF"/>
                <w:lang w:val="en-US"/>
              </w:rPr>
              <w:t>significant economies of scale given its size</w:t>
            </w:r>
            <w:r w:rsidR="00F94895">
              <w:rPr>
                <w:color w:val="17365D" w:themeColor="text2" w:themeShade="BF"/>
                <w:lang w:val="en-US"/>
              </w:rPr>
              <w:t xml:space="preserve"> of over £21 billion</w:t>
            </w:r>
            <w:r>
              <w:rPr>
                <w:color w:val="17365D" w:themeColor="text2" w:themeShade="BF"/>
                <w:lang w:val="en-US"/>
              </w:rPr>
              <w:t>.</w:t>
            </w:r>
            <w:r w:rsidR="0014429F">
              <w:rPr>
                <w:color w:val="17365D" w:themeColor="text2" w:themeShade="BF"/>
                <w:lang w:val="en-US"/>
              </w:rPr>
              <w:t xml:space="preserve"> </w:t>
            </w:r>
          </w:p>
          <w:p w14:paraId="2C97913B" w14:textId="77777777" w:rsidR="00CB2A52" w:rsidRDefault="00CB2A52" w:rsidP="00C22506">
            <w:pPr>
              <w:pStyle w:val="Question"/>
            </w:pPr>
            <w:r w:rsidRPr="00FF2A96">
              <w:lastRenderedPageBreak/>
              <w:t xml:space="preserve">How would you improve the </w:t>
            </w:r>
            <w:r>
              <w:t xml:space="preserve">measurement and </w:t>
            </w:r>
            <w:r w:rsidRPr="00FF2A96">
              <w:t>management of investment costs in the current system?</w:t>
            </w:r>
            <w:r w:rsidRPr="003362DA">
              <w:t xml:space="preserve"> </w:t>
            </w:r>
          </w:p>
          <w:p w14:paraId="2C97913C" w14:textId="77777777" w:rsidR="0014429F" w:rsidRDefault="00612995" w:rsidP="0014429F">
            <w:pPr>
              <w:rPr>
                <w:color w:val="17365D" w:themeColor="text2" w:themeShade="BF"/>
                <w:lang w:val="en-US"/>
              </w:rPr>
            </w:pPr>
            <w:r w:rsidRPr="00612995">
              <w:rPr>
                <w:color w:val="17365D" w:themeColor="text2" w:themeShade="BF"/>
                <w:lang w:val="en-US"/>
              </w:rPr>
              <w:t xml:space="preserve">The FCA report </w:t>
            </w:r>
            <w:r>
              <w:rPr>
                <w:color w:val="17365D" w:themeColor="text2" w:themeShade="BF"/>
                <w:lang w:val="en-US"/>
              </w:rPr>
              <w:t>proposes a package of remedies including strengthening the duty on fund managers to act in the best interests of investors, consistent and standardi</w:t>
            </w:r>
            <w:r w:rsidR="00733DA3">
              <w:rPr>
                <w:color w:val="17365D" w:themeColor="text2" w:themeShade="BF"/>
                <w:lang w:val="en-US"/>
              </w:rPr>
              <w:t>s</w:t>
            </w:r>
            <w:r>
              <w:rPr>
                <w:color w:val="17365D" w:themeColor="text2" w:themeShade="BF"/>
                <w:lang w:val="en-US"/>
              </w:rPr>
              <w:t xml:space="preserve">ed disclosure of costs and charges to institutional investors, and proposals to improve the effectiveness of intermediaries. </w:t>
            </w:r>
          </w:p>
          <w:p w14:paraId="2C97913D" w14:textId="04A71430" w:rsidR="00612995" w:rsidRDefault="00612995" w:rsidP="0014429F">
            <w:pPr>
              <w:rPr>
                <w:color w:val="17365D" w:themeColor="text2" w:themeShade="BF"/>
                <w:lang w:val="en-US"/>
              </w:rPr>
            </w:pPr>
            <w:r>
              <w:rPr>
                <w:color w:val="17365D" w:themeColor="text2" w:themeShade="BF"/>
                <w:lang w:val="en-US"/>
              </w:rPr>
              <w:t>SPF</w:t>
            </w:r>
            <w:r w:rsidR="00DF6507">
              <w:rPr>
                <w:color w:val="17365D" w:themeColor="text2" w:themeShade="BF"/>
                <w:lang w:val="en-US"/>
              </w:rPr>
              <w:t xml:space="preserve"> and GCC</w:t>
            </w:r>
            <w:r>
              <w:rPr>
                <w:color w:val="17365D" w:themeColor="text2" w:themeShade="BF"/>
                <w:lang w:val="en-US"/>
              </w:rPr>
              <w:t xml:space="preserve"> would support these measures, albeit they are addressed more towards smaller investors. </w:t>
            </w:r>
          </w:p>
          <w:p w14:paraId="2C97913E" w14:textId="59D3789A" w:rsidR="00612995" w:rsidRDefault="00150277" w:rsidP="0014429F">
            <w:pPr>
              <w:rPr>
                <w:color w:val="17365D" w:themeColor="text2" w:themeShade="BF"/>
                <w:lang w:val="en-US"/>
              </w:rPr>
            </w:pPr>
            <w:r>
              <w:rPr>
                <w:color w:val="17365D" w:themeColor="text2" w:themeShade="BF"/>
                <w:lang w:val="en-US"/>
              </w:rPr>
              <w:t xml:space="preserve">Considerable </w:t>
            </w:r>
            <w:r w:rsidR="00612995">
              <w:rPr>
                <w:color w:val="17365D" w:themeColor="text2" w:themeShade="BF"/>
                <w:lang w:val="en-US"/>
              </w:rPr>
              <w:t>progress has already been made with the introduction of the Transparency Code in 2016,</w:t>
            </w:r>
            <w:r w:rsidRPr="00150277">
              <w:rPr>
                <w:color w:val="17365D" w:themeColor="text2" w:themeShade="BF"/>
                <w:lang w:val="en-US"/>
              </w:rPr>
              <w:t xml:space="preserve"> </w:t>
            </w:r>
            <w:r w:rsidR="00612995">
              <w:rPr>
                <w:color w:val="17365D" w:themeColor="text2" w:themeShade="BF"/>
                <w:lang w:val="en-US"/>
              </w:rPr>
              <w:t>MiFID II (the Markets in financial Instruments Directive) in January 2018</w:t>
            </w:r>
            <w:r>
              <w:rPr>
                <w:color w:val="17365D" w:themeColor="text2" w:themeShade="BF"/>
                <w:lang w:val="en-US"/>
              </w:rPr>
              <w:t xml:space="preserve">, a private equity transparency initiative by ILPA (the Institutional Limited Partnership Association), and </w:t>
            </w:r>
            <w:r w:rsidRPr="00150277">
              <w:rPr>
                <w:color w:val="17365D" w:themeColor="text2" w:themeShade="BF"/>
                <w:lang w:val="en-US"/>
              </w:rPr>
              <w:t xml:space="preserve">ongoing work by </w:t>
            </w:r>
            <w:r w:rsidRPr="00150277">
              <w:rPr>
                <w:color w:val="17365D" w:themeColor="text2" w:themeShade="BF"/>
              </w:rPr>
              <w:t>the FCA’s Institutional Disclosure Working Group</w:t>
            </w:r>
            <w:r w:rsidR="00612995">
              <w:rPr>
                <w:color w:val="17365D" w:themeColor="text2" w:themeShade="BF"/>
                <w:lang w:val="en-US"/>
              </w:rPr>
              <w:t>.</w:t>
            </w:r>
          </w:p>
          <w:p w14:paraId="2C97913F" w14:textId="54BB2D95" w:rsidR="00612995" w:rsidRPr="00F94895" w:rsidRDefault="00612995" w:rsidP="0014429F">
            <w:pPr>
              <w:rPr>
                <w:color w:val="17365D" w:themeColor="text2" w:themeShade="BF"/>
                <w:lang w:val="en-US"/>
              </w:rPr>
            </w:pPr>
            <w:r>
              <w:rPr>
                <w:color w:val="17365D" w:themeColor="text2" w:themeShade="BF"/>
                <w:lang w:val="en-US"/>
              </w:rPr>
              <w:t>To ensure co</w:t>
            </w:r>
            <w:r w:rsidR="00DF6507">
              <w:rPr>
                <w:color w:val="17365D" w:themeColor="text2" w:themeShade="BF"/>
                <w:lang w:val="en-US"/>
              </w:rPr>
              <w:t>nsistency across LGPS funds, GCC</w:t>
            </w:r>
            <w:r>
              <w:rPr>
                <w:color w:val="17365D" w:themeColor="text2" w:themeShade="BF"/>
                <w:lang w:val="en-US"/>
              </w:rPr>
              <w:t xml:space="preserve"> would support mandatory application of the CIPFA guidance on </w:t>
            </w:r>
            <w:r w:rsidRPr="004D25CB">
              <w:rPr>
                <w:i/>
                <w:color w:val="17365D" w:themeColor="text2" w:themeShade="BF"/>
                <w:lang w:val="en-US"/>
              </w:rPr>
              <w:t>Accounting for Local Government Pension Scheme Management Expenses</w:t>
            </w:r>
            <w:r>
              <w:rPr>
                <w:i/>
                <w:color w:val="17365D" w:themeColor="text2" w:themeShade="BF"/>
                <w:lang w:val="en-US"/>
              </w:rPr>
              <w:t>.</w:t>
            </w:r>
            <w:r w:rsidR="00F94895">
              <w:rPr>
                <w:i/>
                <w:color w:val="17365D" w:themeColor="text2" w:themeShade="BF"/>
                <w:lang w:val="en-US"/>
              </w:rPr>
              <w:t xml:space="preserve"> </w:t>
            </w:r>
            <w:r w:rsidR="00F94895">
              <w:rPr>
                <w:color w:val="17365D" w:themeColor="text2" w:themeShade="BF"/>
                <w:lang w:val="en-US"/>
              </w:rPr>
              <w:t xml:space="preserve">SPF </w:t>
            </w:r>
            <w:r w:rsidR="00733DA3">
              <w:rPr>
                <w:color w:val="17365D" w:themeColor="text2" w:themeShade="BF"/>
                <w:lang w:val="en-US"/>
              </w:rPr>
              <w:t>currentl</w:t>
            </w:r>
            <w:r w:rsidR="00F94895">
              <w:rPr>
                <w:color w:val="17365D" w:themeColor="text2" w:themeShade="BF"/>
                <w:lang w:val="en-US"/>
              </w:rPr>
              <w:t>y applies this guidance as a matter of best practice</w:t>
            </w:r>
          </w:p>
          <w:p w14:paraId="2C979140" w14:textId="77777777" w:rsidR="00CB2A52" w:rsidRPr="00D50707" w:rsidRDefault="00CB2A52" w:rsidP="00F15DA6">
            <w:pPr>
              <w:pStyle w:val="ListNumber"/>
            </w:pPr>
            <w:r w:rsidRPr="00D50707">
              <w:t xml:space="preserve">Governance: </w:t>
            </w:r>
          </w:p>
          <w:p w14:paraId="2C979141" w14:textId="77777777" w:rsidR="00CB2A52"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14:paraId="2C979142" w14:textId="77777777" w:rsidR="0040185F" w:rsidRDefault="0040185F" w:rsidP="0040185F">
            <w:pPr>
              <w:rPr>
                <w:color w:val="17365D" w:themeColor="text2" w:themeShade="BF"/>
                <w:lang w:val="en-US"/>
              </w:rPr>
            </w:pPr>
            <w:r>
              <w:rPr>
                <w:color w:val="17365D" w:themeColor="text2" w:themeShade="BF"/>
                <w:lang w:val="en-US"/>
              </w:rPr>
              <w:t>SPF has a dedicated Governance area on its website, a Governance section in its Annual Report, and Governance is a standing item at the SPF AGM. See:</w:t>
            </w:r>
          </w:p>
          <w:p w14:paraId="2C979143" w14:textId="77777777" w:rsidR="0040185F" w:rsidRDefault="00DF6507" w:rsidP="0040185F">
            <w:pPr>
              <w:rPr>
                <w:color w:val="17365D" w:themeColor="text2" w:themeShade="BF"/>
                <w:lang w:val="en-US"/>
              </w:rPr>
            </w:pPr>
            <w:hyperlink r:id="rId13" w:history="1">
              <w:r w:rsidR="0040185F" w:rsidRPr="00AE60DF">
                <w:rPr>
                  <w:rStyle w:val="Hyperlink"/>
                  <w:lang w:val="en-US"/>
                  <w14:textFill>
                    <w14:solidFill>
                      <w14:srgbClr w14:val="0563C1">
                        <w14:lumMod w14:val="75000"/>
                      </w14:srgbClr>
                    </w14:solidFill>
                  </w14:textFill>
                </w:rPr>
                <w:t>https://www.spfo.org.uk/index.aspx?articleid=14464</w:t>
              </w:r>
            </w:hyperlink>
          </w:p>
          <w:p w14:paraId="2C979144" w14:textId="77777777" w:rsidR="0040185F" w:rsidRDefault="00DF6507" w:rsidP="0040185F">
            <w:pPr>
              <w:rPr>
                <w:color w:val="17365D" w:themeColor="text2" w:themeShade="BF"/>
                <w:lang w:val="en-US"/>
              </w:rPr>
            </w:pPr>
            <w:hyperlink r:id="rId14" w:history="1">
              <w:r w:rsidR="0040185F" w:rsidRPr="00AE60DF">
                <w:rPr>
                  <w:rStyle w:val="Hyperlink"/>
                  <w:lang w:val="en-US"/>
                  <w14:textFill>
                    <w14:solidFill>
                      <w14:srgbClr w14:val="0563C1">
                        <w14:lumMod w14:val="75000"/>
                      </w14:srgbClr>
                    </w14:solidFill>
                  </w14:textFill>
                </w:rPr>
                <w:t>https://www.spfo.org.uk/index.aspx?articleid=14493</w:t>
              </w:r>
            </w:hyperlink>
          </w:p>
          <w:p w14:paraId="2C979145" w14:textId="77777777" w:rsidR="0040185F" w:rsidRDefault="00DF6507" w:rsidP="0040185F">
            <w:pPr>
              <w:rPr>
                <w:color w:val="17365D" w:themeColor="text2" w:themeShade="BF"/>
                <w:lang w:val="en-US"/>
              </w:rPr>
            </w:pPr>
            <w:hyperlink r:id="rId15" w:history="1">
              <w:r w:rsidR="0040185F" w:rsidRPr="00AE60DF">
                <w:rPr>
                  <w:rStyle w:val="Hyperlink"/>
                  <w:lang w:val="en-US"/>
                  <w14:textFill>
                    <w14:solidFill>
                      <w14:srgbClr w14:val="0563C1">
                        <w14:lumMod w14:val="75000"/>
                      </w14:srgbClr>
                    </w14:solidFill>
                  </w14:textFill>
                </w:rPr>
                <w:t>https://www.spfo.org.uk/index.aspx?articleid=22913</w:t>
              </w:r>
            </w:hyperlink>
          </w:p>
          <w:p w14:paraId="2C979146" w14:textId="20B73063" w:rsidR="0040185F" w:rsidRDefault="000C4A7C" w:rsidP="0040185F">
            <w:pPr>
              <w:rPr>
                <w:color w:val="17365D" w:themeColor="text2" w:themeShade="BF"/>
                <w:lang w:val="en-US"/>
              </w:rPr>
            </w:pPr>
            <w:r>
              <w:rPr>
                <w:noProof/>
                <w:lang w:eastAsia="en-GB"/>
              </w:rPr>
              <w:lastRenderedPageBreak/>
              <w:drawing>
                <wp:inline distT="0" distB="0" distL="0" distR="0" wp14:anchorId="2EC80D99" wp14:editId="6FD009F5">
                  <wp:extent cx="4723200" cy="288720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3200" cy="2887200"/>
                          </a:xfrm>
                          <a:prstGeom prst="rect">
                            <a:avLst/>
                          </a:prstGeom>
                        </pic:spPr>
                      </pic:pic>
                    </a:graphicData>
                  </a:graphic>
                </wp:inline>
              </w:drawing>
            </w:r>
          </w:p>
          <w:p w14:paraId="1B1AE1FC" w14:textId="31863EE6" w:rsidR="00ED7443" w:rsidRPr="0040185F" w:rsidRDefault="00ED7443" w:rsidP="0040185F">
            <w:pPr>
              <w:rPr>
                <w:color w:val="17365D" w:themeColor="text2" w:themeShade="BF"/>
                <w:lang w:val="en-US"/>
              </w:rPr>
            </w:pPr>
            <w:r>
              <w:rPr>
                <w:color w:val="17365D" w:themeColor="text2" w:themeShade="BF"/>
                <w:lang w:val="en-US"/>
              </w:rPr>
              <w:t>The SPF governance structure above includes all the mandatory elements introduced by the Public Service Pensions Act 2013 together with elements distinctive to SPF.</w:t>
            </w:r>
          </w:p>
          <w:p w14:paraId="2C979147" w14:textId="77777777" w:rsidR="00CB2A52" w:rsidRDefault="00CB2A52" w:rsidP="00C22506">
            <w:pPr>
              <w:pStyle w:val="Question"/>
            </w:pPr>
            <w:r w:rsidRPr="0027704C">
              <w:t xml:space="preserve">How well </w:t>
            </w:r>
            <w:r>
              <w:t>is the</w:t>
            </w:r>
            <w:r w:rsidRPr="0027704C">
              <w:t xml:space="preserve"> current system</w:t>
            </w:r>
            <w:r>
              <w:t xml:space="preserve"> governed</w:t>
            </w:r>
            <w:r w:rsidRPr="0027704C">
              <w:t xml:space="preserve">?  </w:t>
            </w:r>
          </w:p>
          <w:p w14:paraId="2C979148" w14:textId="77777777" w:rsidR="0040185F" w:rsidRDefault="00EB27FA" w:rsidP="0040185F">
            <w:pPr>
              <w:rPr>
                <w:color w:val="17365D" w:themeColor="text2" w:themeShade="BF"/>
                <w:lang w:val="en-US"/>
              </w:rPr>
            </w:pPr>
            <w:r w:rsidRPr="00EB27FA">
              <w:rPr>
                <w:color w:val="17365D" w:themeColor="text2" w:themeShade="BF"/>
                <w:lang w:val="en-US"/>
              </w:rPr>
              <w:t xml:space="preserve">The current system of governance </w:t>
            </w:r>
            <w:r w:rsidR="00C95D94">
              <w:rPr>
                <w:color w:val="17365D" w:themeColor="text2" w:themeShade="BF"/>
                <w:lang w:val="en-US"/>
              </w:rPr>
              <w:t xml:space="preserve">in the Scottish LGPS </w:t>
            </w:r>
            <w:r w:rsidRPr="00EB27FA">
              <w:rPr>
                <w:color w:val="17365D" w:themeColor="text2" w:themeShade="BF"/>
                <w:lang w:val="en-US"/>
              </w:rPr>
              <w:t>was</w:t>
            </w:r>
            <w:r w:rsidR="00C95D94">
              <w:rPr>
                <w:color w:val="17365D" w:themeColor="text2" w:themeShade="BF"/>
                <w:lang w:val="en-US"/>
              </w:rPr>
              <w:t xml:space="preserve"> only</w:t>
            </w:r>
            <w:r w:rsidR="00733DA3">
              <w:rPr>
                <w:color w:val="17365D" w:themeColor="text2" w:themeShade="BF"/>
                <w:lang w:val="en-US"/>
              </w:rPr>
              <w:t xml:space="preserve"> recently</w:t>
            </w:r>
            <w:r w:rsidR="00C95D94">
              <w:rPr>
                <w:color w:val="17365D" w:themeColor="text2" w:themeShade="BF"/>
                <w:lang w:val="en-US"/>
              </w:rPr>
              <w:t xml:space="preserve"> </w:t>
            </w:r>
            <w:r w:rsidRPr="00EB27FA">
              <w:rPr>
                <w:color w:val="17365D" w:themeColor="text2" w:themeShade="BF"/>
                <w:lang w:val="en-US"/>
              </w:rPr>
              <w:t>introduced</w:t>
            </w:r>
            <w:r w:rsidR="00733DA3">
              <w:rPr>
                <w:color w:val="17365D" w:themeColor="text2" w:themeShade="BF"/>
                <w:lang w:val="en-US"/>
              </w:rPr>
              <w:t xml:space="preserve"> - </w:t>
            </w:r>
            <w:r w:rsidRPr="00EB27FA">
              <w:rPr>
                <w:color w:val="17365D" w:themeColor="text2" w:themeShade="BF"/>
                <w:lang w:val="en-US"/>
              </w:rPr>
              <w:t>in 2015</w:t>
            </w:r>
            <w:r w:rsidR="00733DA3">
              <w:rPr>
                <w:color w:val="17365D" w:themeColor="text2" w:themeShade="BF"/>
                <w:lang w:val="en-US"/>
              </w:rPr>
              <w:t>.</w:t>
            </w:r>
            <w:r w:rsidRPr="00EB27FA">
              <w:rPr>
                <w:color w:val="17365D" w:themeColor="text2" w:themeShade="BF"/>
                <w:lang w:val="en-US"/>
              </w:rPr>
              <w:t xml:space="preserve"> </w:t>
            </w:r>
            <w:r w:rsidR="00733DA3">
              <w:rPr>
                <w:color w:val="17365D" w:themeColor="text2" w:themeShade="BF"/>
                <w:lang w:val="en-US"/>
              </w:rPr>
              <w:t xml:space="preserve">It was </w:t>
            </w:r>
            <w:r>
              <w:rPr>
                <w:color w:val="17365D" w:themeColor="text2" w:themeShade="BF"/>
                <w:lang w:val="en-US"/>
              </w:rPr>
              <w:t xml:space="preserve">the result of </w:t>
            </w:r>
            <w:r w:rsidR="00733DA3">
              <w:rPr>
                <w:color w:val="17365D" w:themeColor="text2" w:themeShade="BF"/>
                <w:lang w:val="en-US"/>
              </w:rPr>
              <w:t xml:space="preserve">extensive review by a </w:t>
            </w:r>
            <w:r w:rsidR="00C95D94">
              <w:rPr>
                <w:color w:val="17365D" w:themeColor="text2" w:themeShade="BF"/>
                <w:lang w:val="en-US"/>
              </w:rPr>
              <w:t xml:space="preserve">UK </w:t>
            </w:r>
            <w:r>
              <w:rPr>
                <w:color w:val="17365D" w:themeColor="text2" w:themeShade="BF"/>
                <w:lang w:val="en-US"/>
              </w:rPr>
              <w:t xml:space="preserve">government commission </w:t>
            </w:r>
            <w:r w:rsidR="00733DA3">
              <w:rPr>
                <w:color w:val="17365D" w:themeColor="text2" w:themeShade="BF"/>
                <w:lang w:val="en-US"/>
              </w:rPr>
              <w:t xml:space="preserve">leading to </w:t>
            </w:r>
            <w:r>
              <w:rPr>
                <w:color w:val="17365D" w:themeColor="text2" w:themeShade="BF"/>
                <w:lang w:val="en-US"/>
              </w:rPr>
              <w:t xml:space="preserve">primary legislation and </w:t>
            </w:r>
            <w:r w:rsidR="00733DA3">
              <w:rPr>
                <w:color w:val="17365D" w:themeColor="text2" w:themeShade="BF"/>
                <w:lang w:val="en-US"/>
              </w:rPr>
              <w:t xml:space="preserve">new </w:t>
            </w:r>
            <w:r>
              <w:rPr>
                <w:color w:val="17365D" w:themeColor="text2" w:themeShade="BF"/>
                <w:lang w:val="en-US"/>
              </w:rPr>
              <w:t xml:space="preserve">scheme regulations. </w:t>
            </w:r>
          </w:p>
          <w:p w14:paraId="2C979149" w14:textId="77777777" w:rsidR="00EB27FA" w:rsidRPr="00390BA9" w:rsidRDefault="00EB27FA" w:rsidP="0040185F">
            <w:pPr>
              <w:rPr>
                <w:color w:val="17365D" w:themeColor="text2" w:themeShade="BF"/>
                <w:lang w:val="en-US"/>
              </w:rPr>
            </w:pPr>
            <w:r w:rsidRPr="00390BA9">
              <w:rPr>
                <w:color w:val="17365D" w:themeColor="text2" w:themeShade="BF"/>
                <w:lang w:val="en-US"/>
              </w:rPr>
              <w:t xml:space="preserve">In 2016, the Scottish Public Pensions Agency (SPPA) commissioned KPMG to undertake a review of the arrangements. </w:t>
            </w:r>
            <w:r w:rsidR="00733DA3">
              <w:rPr>
                <w:color w:val="17365D" w:themeColor="text2" w:themeShade="BF"/>
                <w:lang w:val="en-US"/>
              </w:rPr>
              <w:t>The review’s</w:t>
            </w:r>
            <w:r w:rsidR="00390BA9" w:rsidRPr="00390BA9">
              <w:rPr>
                <w:color w:val="17365D" w:themeColor="text2" w:themeShade="BF"/>
                <w:lang w:val="en-US"/>
              </w:rPr>
              <w:t xml:space="preserve"> findings overall were positive and no fundamental weaknesses were identified, though </w:t>
            </w:r>
            <w:r w:rsidR="00733DA3">
              <w:rPr>
                <w:color w:val="17365D" w:themeColor="text2" w:themeShade="BF"/>
                <w:lang w:val="en-US"/>
              </w:rPr>
              <w:t xml:space="preserve">KPMG </w:t>
            </w:r>
            <w:r w:rsidRPr="00390BA9">
              <w:rPr>
                <w:color w:val="17365D" w:themeColor="text2" w:themeShade="BF"/>
                <w:lang w:val="en-US"/>
              </w:rPr>
              <w:t>made a number of recommendations</w:t>
            </w:r>
            <w:r w:rsidR="00390BA9" w:rsidRPr="00390BA9">
              <w:rPr>
                <w:color w:val="17365D" w:themeColor="text2" w:themeShade="BF"/>
                <w:lang w:val="en-US"/>
              </w:rPr>
              <w:t xml:space="preserve"> addressed at helping the new Boards establish their purpose.</w:t>
            </w:r>
            <w:r w:rsidRPr="00390BA9">
              <w:rPr>
                <w:color w:val="17365D" w:themeColor="text2" w:themeShade="BF"/>
                <w:lang w:val="en-US"/>
              </w:rPr>
              <w:t xml:space="preserve">  </w:t>
            </w:r>
          </w:p>
          <w:p w14:paraId="2C97914A" w14:textId="77777777" w:rsidR="00CB2A52" w:rsidRDefault="00CB2A52" w:rsidP="00C22506">
            <w:pPr>
              <w:pStyle w:val="Question"/>
            </w:pPr>
            <w:r w:rsidRPr="0027704C">
              <w:t xml:space="preserve">How would you improve </w:t>
            </w:r>
            <w:r>
              <w:t>governance of</w:t>
            </w:r>
            <w:r w:rsidRPr="0027704C">
              <w:t xml:space="preserve"> the current system? </w:t>
            </w:r>
          </w:p>
          <w:p w14:paraId="2C97914B" w14:textId="77777777" w:rsidR="00390BA9" w:rsidRPr="00390BA9" w:rsidRDefault="00390BA9" w:rsidP="00390BA9">
            <w:pPr>
              <w:rPr>
                <w:color w:val="17365D" w:themeColor="text2" w:themeShade="BF"/>
                <w:lang w:val="en-US"/>
              </w:rPr>
            </w:pPr>
            <w:r w:rsidRPr="00390BA9">
              <w:rPr>
                <w:color w:val="17365D" w:themeColor="text2" w:themeShade="BF"/>
                <w:lang w:val="en-US"/>
              </w:rPr>
              <w:t xml:space="preserve">Recommendations from the KPMG review should continue to be worked through and implemented. </w:t>
            </w:r>
          </w:p>
          <w:p w14:paraId="2C97914C" w14:textId="77777777" w:rsidR="00390BA9" w:rsidRDefault="00CB2A52" w:rsidP="00390BA9">
            <w:pPr>
              <w:pStyle w:val="Question"/>
              <w:numPr>
                <w:ilvl w:val="0"/>
                <w:numId w:val="26"/>
              </w:numPr>
            </w:pPr>
            <w:r w:rsidRPr="00F50CBA">
              <w:t>How important is it to maintain a local connection with respect to oversight and strategy?</w:t>
            </w:r>
          </w:p>
          <w:p w14:paraId="2C97914D" w14:textId="77777777" w:rsidR="00390BA9" w:rsidRPr="00DF776C" w:rsidRDefault="00DF776C" w:rsidP="00390BA9">
            <w:pPr>
              <w:rPr>
                <w:color w:val="17365D" w:themeColor="text2" w:themeShade="BF"/>
                <w:lang w:val="en-US"/>
              </w:rPr>
            </w:pPr>
            <w:r>
              <w:rPr>
                <w:color w:val="17365D" w:themeColor="text2" w:themeShade="BF"/>
                <w:lang w:val="en-US"/>
              </w:rPr>
              <w:t>The LGPS represents a very significant benefit for scheme members and a significant cost for employers. A local connection is essential to ensure that both employers and members can exercise meaningful oversight</w:t>
            </w:r>
            <w:r w:rsidR="008315CC">
              <w:rPr>
                <w:color w:val="17365D" w:themeColor="text2" w:themeShade="BF"/>
                <w:lang w:val="en-US"/>
              </w:rPr>
              <w:t xml:space="preserve">, </w:t>
            </w:r>
            <w:r>
              <w:rPr>
                <w:color w:val="17365D" w:themeColor="text2" w:themeShade="BF"/>
                <w:lang w:val="en-US"/>
              </w:rPr>
              <w:t xml:space="preserve">and </w:t>
            </w:r>
            <w:r w:rsidR="008315CC">
              <w:rPr>
                <w:color w:val="17365D" w:themeColor="text2" w:themeShade="BF"/>
                <w:lang w:val="en-US"/>
              </w:rPr>
              <w:t>that strategy is fully aligned to their interests.</w:t>
            </w:r>
            <w:r w:rsidRPr="00DF776C">
              <w:rPr>
                <w:color w:val="17365D" w:themeColor="text2" w:themeShade="BF"/>
                <w:lang w:val="en-US"/>
              </w:rPr>
              <w:t xml:space="preserve"> </w:t>
            </w:r>
          </w:p>
          <w:p w14:paraId="2C97914E" w14:textId="77777777" w:rsidR="00CB2A52" w:rsidRDefault="00CB2A52" w:rsidP="00390BA9">
            <w:pPr>
              <w:pStyle w:val="Question"/>
              <w:numPr>
                <w:ilvl w:val="0"/>
                <w:numId w:val="26"/>
              </w:numPr>
            </w:pPr>
            <w:r w:rsidRPr="00F50CBA">
              <w:lastRenderedPageBreak/>
              <w:t>How would you determine if the benefits of a local connection in governance outweigh the benefits of scale?</w:t>
            </w:r>
          </w:p>
          <w:p w14:paraId="2C97914F" w14:textId="77777777" w:rsidR="008315CC" w:rsidRPr="008315CC" w:rsidRDefault="008315CC" w:rsidP="008315CC">
            <w:pPr>
              <w:rPr>
                <w:color w:val="17365D" w:themeColor="text2" w:themeShade="BF"/>
                <w:lang w:val="en-US"/>
              </w:rPr>
            </w:pPr>
            <w:r>
              <w:rPr>
                <w:color w:val="17365D" w:themeColor="text2" w:themeShade="BF"/>
                <w:lang w:val="en-US"/>
              </w:rPr>
              <w:t>Given that</w:t>
            </w:r>
            <w:r w:rsidR="002D2D71">
              <w:rPr>
                <w:color w:val="17365D" w:themeColor="text2" w:themeShade="BF"/>
                <w:lang w:val="en-US"/>
              </w:rPr>
              <w:t xml:space="preserve"> the strong </w:t>
            </w:r>
            <w:r>
              <w:rPr>
                <w:color w:val="17365D" w:themeColor="text2" w:themeShade="BF"/>
                <w:lang w:val="en-US"/>
              </w:rPr>
              <w:t>loc</w:t>
            </w:r>
            <w:r w:rsidR="002D2D71">
              <w:rPr>
                <w:color w:val="17365D" w:themeColor="text2" w:themeShade="BF"/>
                <w:lang w:val="en-US"/>
              </w:rPr>
              <w:t xml:space="preserve">al connection represents the status quo for the LGPS in Scotland it would be necessary instead, in order to advocate fundamental change, to determine </w:t>
            </w:r>
            <w:r w:rsidR="00C95D94">
              <w:rPr>
                <w:color w:val="17365D" w:themeColor="text2" w:themeShade="BF"/>
                <w:lang w:val="en-US"/>
              </w:rPr>
              <w:t>that</w:t>
            </w:r>
            <w:r w:rsidR="002D2D71">
              <w:rPr>
                <w:color w:val="17365D" w:themeColor="text2" w:themeShade="BF"/>
                <w:lang w:val="en-US"/>
              </w:rPr>
              <w:t xml:space="preserve"> greater benefits of scale would outweigh the benefits of the local connection. Some academic evidence might suggest so, but this cannot be established with any certainty </w:t>
            </w:r>
            <w:r w:rsidR="002D2D71" w:rsidRPr="002D2D71">
              <w:rPr>
                <w:i/>
                <w:color w:val="17365D" w:themeColor="text2" w:themeShade="BF"/>
                <w:lang w:val="en-US"/>
              </w:rPr>
              <w:t>ex ante</w:t>
            </w:r>
            <w:r w:rsidR="002D2D71">
              <w:rPr>
                <w:color w:val="17365D" w:themeColor="text2" w:themeShade="BF"/>
                <w:lang w:val="en-US"/>
              </w:rPr>
              <w:t>. There is no evidence to suggest that the current model is fundamentally flawed. Indeed, the LGPS in Scotland is a considerable success story.</w:t>
            </w:r>
          </w:p>
          <w:p w14:paraId="2C979150" w14:textId="77777777" w:rsidR="00CB2A52" w:rsidRDefault="00CB2A52" w:rsidP="00F15DA6">
            <w:pPr>
              <w:pStyle w:val="ListNumber"/>
            </w:pPr>
            <w:r>
              <w:t xml:space="preserve">Operating risks: </w:t>
            </w:r>
          </w:p>
          <w:p w14:paraId="2C979151" w14:textId="77777777" w:rsidR="00CB2A52" w:rsidRDefault="00CB2A52" w:rsidP="00C22506">
            <w:pPr>
              <w:pStyle w:val="Question"/>
              <w:rPr>
                <w:color w:val="17365D" w:themeColor="text2" w:themeShade="BF"/>
              </w:rPr>
            </w:pPr>
            <w:r w:rsidRPr="00BC7350">
              <w:t>How well informed do feel about the operating risks of your fund? What information do you rely on to specify and measure these?</w:t>
            </w:r>
          </w:p>
          <w:p w14:paraId="2C979152" w14:textId="77777777" w:rsidR="00C86F34" w:rsidRPr="00C86F34" w:rsidRDefault="00C86F34" w:rsidP="002D2D71">
            <w:pPr>
              <w:rPr>
                <w:color w:val="17365D" w:themeColor="text2" w:themeShade="BF"/>
                <w:lang w:val="en-US"/>
              </w:rPr>
            </w:pPr>
            <w:r w:rsidRPr="00C86F34">
              <w:rPr>
                <w:color w:val="17365D" w:themeColor="text2" w:themeShade="BF"/>
                <w:lang w:val="en-US"/>
              </w:rPr>
              <w:t>SPF has a published Risk Policy and Strategy Statement which is available at:</w:t>
            </w:r>
          </w:p>
          <w:p w14:paraId="2C979153" w14:textId="77777777" w:rsidR="002D2D71" w:rsidRPr="00C86F34" w:rsidRDefault="00DF6507" w:rsidP="002D2D71">
            <w:pPr>
              <w:rPr>
                <w:color w:val="17365D" w:themeColor="text2" w:themeShade="BF"/>
                <w:lang w:val="en-US"/>
              </w:rPr>
            </w:pPr>
            <w:hyperlink r:id="rId17" w:history="1">
              <w:r w:rsidR="00C86F34" w:rsidRPr="00C86F34">
                <w:rPr>
                  <w:rStyle w:val="Hyperlink"/>
                  <w:color w:val="17365D" w:themeColor="text2" w:themeShade="BF"/>
                  <w:lang w:val="en-US"/>
                </w:rPr>
                <w:t>https://www.spfo.org.uk/index.aspx?articleid=20464</w:t>
              </w:r>
            </w:hyperlink>
          </w:p>
          <w:p w14:paraId="2C979154" w14:textId="77777777" w:rsidR="00C86F34" w:rsidRDefault="00C86F34" w:rsidP="002D2D71">
            <w:pPr>
              <w:rPr>
                <w:color w:val="17365D" w:themeColor="text2" w:themeShade="BF"/>
                <w:lang w:val="en-US"/>
              </w:rPr>
            </w:pPr>
            <w:r w:rsidRPr="00C86F34">
              <w:rPr>
                <w:color w:val="17365D" w:themeColor="text2" w:themeShade="BF"/>
                <w:lang w:val="en-US"/>
              </w:rPr>
              <w:t>A summary Risk Register is revi</w:t>
            </w:r>
            <w:r>
              <w:rPr>
                <w:color w:val="17365D" w:themeColor="text2" w:themeShade="BF"/>
                <w:lang w:val="en-US"/>
              </w:rPr>
              <w:t>e</w:t>
            </w:r>
            <w:r w:rsidRPr="00C86F34">
              <w:rPr>
                <w:color w:val="17365D" w:themeColor="text2" w:themeShade="BF"/>
                <w:lang w:val="en-US"/>
              </w:rPr>
              <w:t xml:space="preserve">wed each quarter by the </w:t>
            </w:r>
            <w:r>
              <w:rPr>
                <w:color w:val="17365D" w:themeColor="text2" w:themeShade="BF"/>
                <w:lang w:val="en-US"/>
              </w:rPr>
              <w:t>SPF Committee and Board.</w:t>
            </w:r>
          </w:p>
          <w:p w14:paraId="2C979155" w14:textId="77777777" w:rsidR="00C86F34" w:rsidRDefault="00C86F34" w:rsidP="002D2D71">
            <w:pPr>
              <w:rPr>
                <w:color w:val="17365D" w:themeColor="text2" w:themeShade="BF"/>
                <w:lang w:val="en-US"/>
              </w:rPr>
            </w:pPr>
            <w:r>
              <w:rPr>
                <w:color w:val="17365D" w:themeColor="text2" w:themeShade="BF"/>
                <w:lang w:val="en-US"/>
              </w:rPr>
              <w:t>The detailed Risk Register is reviewed and published annually:</w:t>
            </w:r>
          </w:p>
          <w:p w14:paraId="2C979156" w14:textId="77777777" w:rsidR="00C86F34" w:rsidRDefault="00DF6507" w:rsidP="002D2D71">
            <w:pPr>
              <w:rPr>
                <w:color w:val="17365D" w:themeColor="text2" w:themeShade="BF"/>
                <w:lang w:val="en-US"/>
              </w:rPr>
            </w:pPr>
            <w:hyperlink r:id="rId18" w:history="1">
              <w:r w:rsidR="00C86F34" w:rsidRPr="00AE60DF">
                <w:rPr>
                  <w:rStyle w:val="Hyperlink"/>
                  <w:lang w:val="en-US"/>
                  <w14:textFill>
                    <w14:solidFill>
                      <w14:srgbClr w14:val="0563C1">
                        <w14:lumMod w14:val="75000"/>
                      </w14:srgbClr>
                    </w14:solidFill>
                  </w14:textFill>
                </w:rPr>
                <w:t>http://www.glasgow.gov.uk/councillorsandcommittees/submissiondocuments.asp?submissionid=87156</w:t>
              </w:r>
            </w:hyperlink>
          </w:p>
          <w:p w14:paraId="2C979157" w14:textId="77777777" w:rsidR="00CB2A52" w:rsidRDefault="00CB2A52" w:rsidP="00C22506">
            <w:pPr>
              <w:pStyle w:val="Question"/>
            </w:pPr>
            <w:r w:rsidRPr="00BC7350">
              <w:t xml:space="preserve">How well are operating risks managed in the current system?  </w:t>
            </w:r>
          </w:p>
          <w:p w14:paraId="2C979158" w14:textId="468231B8" w:rsidR="00C86F34" w:rsidRPr="00C86F34" w:rsidRDefault="00C86F34" w:rsidP="00C86F34">
            <w:pPr>
              <w:rPr>
                <w:color w:val="17365D" w:themeColor="text2" w:themeShade="BF"/>
              </w:rPr>
            </w:pPr>
            <w:r>
              <w:rPr>
                <w:color w:val="17365D" w:themeColor="text2" w:themeShade="BF"/>
              </w:rPr>
              <w:t xml:space="preserve">SPF </w:t>
            </w:r>
            <w:r w:rsidRPr="00C86F34">
              <w:rPr>
                <w:color w:val="17365D" w:themeColor="text2" w:themeShade="BF"/>
              </w:rPr>
              <w:t>has a strong risk management culture.</w:t>
            </w:r>
            <w:r>
              <w:rPr>
                <w:color w:val="17365D" w:themeColor="text2" w:themeShade="BF"/>
              </w:rPr>
              <w:t xml:space="preserve"> </w:t>
            </w:r>
            <w:r w:rsidRPr="00C86F34">
              <w:rPr>
                <w:color w:val="17365D" w:themeColor="text2" w:themeShade="BF"/>
              </w:rPr>
              <w:t>The funding and investment strategies are firmly</w:t>
            </w:r>
            <w:r>
              <w:rPr>
                <w:color w:val="17365D" w:themeColor="text2" w:themeShade="BF"/>
              </w:rPr>
              <w:t xml:space="preserve"> </w:t>
            </w:r>
            <w:r w:rsidRPr="00C86F34">
              <w:rPr>
                <w:color w:val="17365D" w:themeColor="text2" w:themeShade="BF"/>
              </w:rPr>
              <w:t xml:space="preserve">risk-based and </w:t>
            </w:r>
            <w:r>
              <w:rPr>
                <w:color w:val="17365D" w:themeColor="text2" w:themeShade="BF"/>
              </w:rPr>
              <w:t xml:space="preserve">all operational risks are closely managed. </w:t>
            </w:r>
            <w:r w:rsidR="00D4073B">
              <w:rPr>
                <w:color w:val="17365D" w:themeColor="text2" w:themeShade="BF"/>
              </w:rPr>
              <w:t xml:space="preserve">The Strathclyde Pension Fund Office (SPFO) has </w:t>
            </w:r>
            <w:r w:rsidR="000C4A7C">
              <w:rPr>
                <w:color w:val="17365D" w:themeColor="text2" w:themeShade="BF"/>
              </w:rPr>
              <w:t xml:space="preserve">significant internal resource and expertise, and </w:t>
            </w:r>
            <w:r w:rsidR="00D4073B">
              <w:rPr>
                <w:color w:val="17365D" w:themeColor="text2" w:themeShade="BF"/>
              </w:rPr>
              <w:t>a robust regime of internal</w:t>
            </w:r>
            <w:r w:rsidR="00A8357D">
              <w:rPr>
                <w:color w:val="17365D" w:themeColor="text2" w:themeShade="BF"/>
              </w:rPr>
              <w:t xml:space="preserve"> controls</w:t>
            </w:r>
            <w:r w:rsidR="000C4A7C">
              <w:rPr>
                <w:color w:val="17365D" w:themeColor="text2" w:themeShade="BF"/>
              </w:rPr>
              <w:t>. T</w:t>
            </w:r>
            <w:r w:rsidR="00D4073B">
              <w:rPr>
                <w:color w:val="17365D" w:themeColor="text2" w:themeShade="BF"/>
              </w:rPr>
              <w:t xml:space="preserve">he internal resource is supported </w:t>
            </w:r>
            <w:r w:rsidR="000C4A7C">
              <w:rPr>
                <w:color w:val="17365D" w:themeColor="text2" w:themeShade="BF"/>
              </w:rPr>
              <w:t xml:space="preserve">and enhanced </w:t>
            </w:r>
            <w:r w:rsidR="00D4073B">
              <w:rPr>
                <w:color w:val="17365D" w:themeColor="text2" w:themeShade="BF"/>
              </w:rPr>
              <w:t>by a framework of external monitoring and advice including actuarial and investment consultants, auditors, and independent expert advisers (the Investment Advisory Panel).</w:t>
            </w:r>
            <w:r w:rsidR="00E226BF">
              <w:rPr>
                <w:color w:val="17365D" w:themeColor="text2" w:themeShade="BF"/>
              </w:rPr>
              <w:t xml:space="preserve"> External investment managers have significant risk and compliance resources.</w:t>
            </w:r>
          </w:p>
          <w:p w14:paraId="2C979159" w14:textId="77777777" w:rsidR="00CB2A52" w:rsidRDefault="00CB2A52" w:rsidP="00C22506">
            <w:pPr>
              <w:pStyle w:val="Question"/>
            </w:pPr>
            <w:r w:rsidRPr="00F50CBA">
              <w:t xml:space="preserve">How would you improve </w:t>
            </w:r>
            <w:r>
              <w:t xml:space="preserve">the measurement and </w:t>
            </w:r>
            <w:r w:rsidRPr="00F50CBA">
              <w:t xml:space="preserve">management of operating risks in the current system? </w:t>
            </w:r>
          </w:p>
          <w:p w14:paraId="2C97915A" w14:textId="77777777" w:rsidR="00C86F34" w:rsidRPr="008E48E3" w:rsidRDefault="008E48E3" w:rsidP="00C86F34">
            <w:pPr>
              <w:rPr>
                <w:color w:val="17365D" w:themeColor="text2" w:themeShade="BF"/>
                <w:lang w:val="en-US"/>
              </w:rPr>
            </w:pPr>
            <w:r>
              <w:rPr>
                <w:color w:val="17365D" w:themeColor="text2" w:themeShade="BF"/>
                <w:lang w:val="en-US"/>
              </w:rPr>
              <w:t xml:space="preserve">The complexity of the scheme regulations and associated legislation </w:t>
            </w:r>
            <w:r w:rsidR="003F64A4">
              <w:rPr>
                <w:color w:val="17365D" w:themeColor="text2" w:themeShade="BF"/>
                <w:lang w:val="en-US"/>
              </w:rPr>
              <w:t>severely exacerbates operating risks. The regulations should be simplified.</w:t>
            </w:r>
          </w:p>
          <w:p w14:paraId="2C97915B" w14:textId="77777777" w:rsidR="00CB2A52" w:rsidRDefault="00CB2A52" w:rsidP="00F15DA6">
            <w:pPr>
              <w:pStyle w:val="ListNumber"/>
            </w:pPr>
            <w:r>
              <w:t xml:space="preserve">Infrastructure: </w:t>
            </w:r>
          </w:p>
          <w:p w14:paraId="2C97915C" w14:textId="77777777" w:rsidR="00CB2A52" w:rsidRDefault="00CB2A52" w:rsidP="00C22506">
            <w:pPr>
              <w:pStyle w:val="Question"/>
            </w:pPr>
            <w:r>
              <w:lastRenderedPageBreak/>
              <w:t>How well informed do you feel about your fund’s investments in infrastructure?</w:t>
            </w:r>
            <w:r w:rsidRPr="00F50CBA">
              <w:t xml:space="preserve"> </w:t>
            </w:r>
            <w:r>
              <w:t>What information do you rely on?</w:t>
            </w:r>
          </w:p>
          <w:p w14:paraId="2C97915D" w14:textId="443D0A53" w:rsidR="003F64A4" w:rsidRPr="00D8595A" w:rsidRDefault="00FF7851" w:rsidP="003F64A4">
            <w:pPr>
              <w:rPr>
                <w:color w:val="17365D" w:themeColor="text2" w:themeShade="BF"/>
                <w:lang w:val="en-US"/>
              </w:rPr>
            </w:pPr>
            <w:r w:rsidRPr="00D8595A">
              <w:rPr>
                <w:color w:val="17365D" w:themeColor="text2" w:themeShade="BF"/>
                <w:lang w:val="en-US"/>
              </w:rPr>
              <w:t xml:space="preserve">SPF has made </w:t>
            </w:r>
            <w:r w:rsidR="00D8595A" w:rsidRPr="00D8595A">
              <w:rPr>
                <w:color w:val="17365D" w:themeColor="text2" w:themeShade="BF"/>
                <w:lang w:val="en-US"/>
              </w:rPr>
              <w:t xml:space="preserve">18 separate </w:t>
            </w:r>
            <w:r w:rsidRPr="00D8595A">
              <w:rPr>
                <w:color w:val="17365D" w:themeColor="text2" w:themeShade="BF"/>
                <w:lang w:val="en-US"/>
              </w:rPr>
              <w:t xml:space="preserve">investments </w:t>
            </w:r>
            <w:r w:rsidR="00D8595A" w:rsidRPr="00D8595A">
              <w:rPr>
                <w:color w:val="17365D" w:themeColor="text2" w:themeShade="BF"/>
                <w:lang w:val="en-US"/>
              </w:rPr>
              <w:t xml:space="preserve">totaling over £500m </w:t>
            </w:r>
            <w:r w:rsidRPr="00D8595A">
              <w:rPr>
                <w:color w:val="17365D" w:themeColor="text2" w:themeShade="BF"/>
                <w:lang w:val="en-US"/>
              </w:rPr>
              <w:t>in UK infrastructure</w:t>
            </w:r>
            <w:r w:rsidR="00C95D94">
              <w:rPr>
                <w:color w:val="17365D" w:themeColor="text2" w:themeShade="BF"/>
                <w:lang w:val="en-US"/>
              </w:rPr>
              <w:t xml:space="preserve">, </w:t>
            </w:r>
            <w:r w:rsidR="006E0903">
              <w:rPr>
                <w:color w:val="17365D" w:themeColor="text2" w:themeShade="BF"/>
                <w:lang w:val="en-US"/>
              </w:rPr>
              <w:t xml:space="preserve">including £150m </w:t>
            </w:r>
            <w:r w:rsidR="00C95D94">
              <w:rPr>
                <w:color w:val="17365D" w:themeColor="text2" w:themeShade="BF"/>
                <w:lang w:val="en-US"/>
              </w:rPr>
              <w:t xml:space="preserve">in Scotland, </w:t>
            </w:r>
            <w:r w:rsidRPr="00D8595A">
              <w:rPr>
                <w:color w:val="17365D" w:themeColor="text2" w:themeShade="BF"/>
                <w:lang w:val="en-US"/>
              </w:rPr>
              <w:t>through its Direct Investment Portfolio</w:t>
            </w:r>
            <w:r w:rsidR="00D8595A">
              <w:rPr>
                <w:color w:val="17365D" w:themeColor="text2" w:themeShade="BF"/>
                <w:lang w:val="en-US"/>
              </w:rPr>
              <w:t xml:space="preserve"> (DIP)</w:t>
            </w:r>
            <w:r w:rsidRPr="00D8595A">
              <w:rPr>
                <w:color w:val="17365D" w:themeColor="text2" w:themeShade="BF"/>
                <w:lang w:val="en-US"/>
              </w:rPr>
              <w:t xml:space="preserve">. </w:t>
            </w:r>
            <w:r w:rsidR="00D8595A" w:rsidRPr="00D8595A">
              <w:rPr>
                <w:color w:val="17365D" w:themeColor="text2" w:themeShade="BF"/>
                <w:lang w:val="en-US"/>
              </w:rPr>
              <w:t>These span social and transport infrastructure and renewable energy including onshore wind, offshore wind, solar, small scale hydro and community power schemes.</w:t>
            </w:r>
          </w:p>
          <w:p w14:paraId="2C97915E" w14:textId="77777777" w:rsidR="00D8595A" w:rsidRDefault="00D8595A" w:rsidP="003F64A4">
            <w:pPr>
              <w:rPr>
                <w:color w:val="17365D" w:themeColor="text2" w:themeShade="BF"/>
                <w:lang w:val="en-US"/>
              </w:rPr>
            </w:pPr>
            <w:r>
              <w:rPr>
                <w:color w:val="17365D" w:themeColor="text2" w:themeShade="BF"/>
                <w:lang w:val="en-US"/>
              </w:rPr>
              <w:t>SPF has also recently agreed to invest £500m in a global infrastructure fund.</w:t>
            </w:r>
          </w:p>
          <w:p w14:paraId="2C97915F" w14:textId="77777777" w:rsidR="00D8595A" w:rsidRDefault="00D8595A" w:rsidP="003F64A4">
            <w:pPr>
              <w:rPr>
                <w:color w:val="17365D" w:themeColor="text2" w:themeShade="BF"/>
                <w:lang w:val="en-US"/>
              </w:rPr>
            </w:pPr>
            <w:r>
              <w:rPr>
                <w:color w:val="17365D" w:themeColor="text2" w:themeShade="BF"/>
                <w:lang w:val="en-US"/>
              </w:rPr>
              <w:t>Detailed proposals for each of these investments are published in the committee papers area of the Fund’s website:</w:t>
            </w:r>
          </w:p>
          <w:p w14:paraId="2C979160" w14:textId="77777777" w:rsidR="00D8595A" w:rsidRDefault="00DF6507" w:rsidP="003F64A4">
            <w:pPr>
              <w:rPr>
                <w:color w:val="17365D" w:themeColor="text2" w:themeShade="BF"/>
                <w:lang w:val="en-US"/>
              </w:rPr>
            </w:pPr>
            <w:hyperlink r:id="rId19" w:history="1">
              <w:r w:rsidR="00D8595A" w:rsidRPr="00EE760A">
                <w:rPr>
                  <w:rStyle w:val="Hyperlink"/>
                  <w:lang w:val="en-US"/>
                </w:rPr>
                <w:t>https://www.spfo.org.uk/index.aspx?articleid=16036</w:t>
              </w:r>
            </w:hyperlink>
          </w:p>
          <w:p w14:paraId="2C979161" w14:textId="5B179847" w:rsidR="00D8595A" w:rsidRDefault="00D8595A" w:rsidP="003F64A4">
            <w:pPr>
              <w:rPr>
                <w:color w:val="17365D" w:themeColor="text2" w:themeShade="BF"/>
                <w:lang w:val="en-US"/>
              </w:rPr>
            </w:pPr>
            <w:r>
              <w:rPr>
                <w:color w:val="17365D" w:themeColor="text2" w:themeShade="BF"/>
                <w:lang w:val="en-US"/>
              </w:rPr>
              <w:t xml:space="preserve">A complete list of DIP investments is published in the </w:t>
            </w:r>
            <w:r w:rsidR="006018C2">
              <w:rPr>
                <w:color w:val="17365D" w:themeColor="text2" w:themeShade="BF"/>
                <w:lang w:val="en-US"/>
              </w:rPr>
              <w:t xml:space="preserve">quarterly investment performance report and in the investments section of the </w:t>
            </w:r>
            <w:r>
              <w:rPr>
                <w:color w:val="17365D" w:themeColor="text2" w:themeShade="BF"/>
                <w:lang w:val="en-US"/>
              </w:rPr>
              <w:t>SPF Annual Report.</w:t>
            </w:r>
          </w:p>
          <w:p w14:paraId="2C979162" w14:textId="77777777" w:rsidR="00CB2A52" w:rsidRDefault="00CB2A52" w:rsidP="00C22506">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14:paraId="2C979163" w14:textId="77777777" w:rsidR="00261BA5" w:rsidRPr="00261BA5" w:rsidRDefault="00CD3011" w:rsidP="00261BA5">
            <w:pPr>
              <w:rPr>
                <w:color w:val="17365D" w:themeColor="text2" w:themeShade="BF"/>
                <w:lang w:val="en-US"/>
              </w:rPr>
            </w:pPr>
            <w:r>
              <w:rPr>
                <w:color w:val="17365D" w:themeColor="text2" w:themeShade="BF"/>
                <w:lang w:val="en-US"/>
              </w:rPr>
              <w:t xml:space="preserve">As with other asset classes, </w:t>
            </w:r>
            <w:r w:rsidR="00733DA3">
              <w:rPr>
                <w:color w:val="17365D" w:themeColor="text2" w:themeShade="BF"/>
                <w:lang w:val="en-US"/>
              </w:rPr>
              <w:t>i</w:t>
            </w:r>
            <w:r>
              <w:rPr>
                <w:color w:val="17365D" w:themeColor="text2" w:themeShade="BF"/>
                <w:lang w:val="en-US"/>
              </w:rPr>
              <w:t xml:space="preserve">nfrastructure investment requires a sound understanding of risk, return and governance characteristics. Like other private markets investments, infrastructure is </w:t>
            </w:r>
            <w:r w:rsidR="000037DD">
              <w:rPr>
                <w:color w:val="17365D" w:themeColor="text2" w:themeShade="BF"/>
                <w:lang w:val="en-US"/>
              </w:rPr>
              <w:t xml:space="preserve">relatively </w:t>
            </w:r>
            <w:r>
              <w:rPr>
                <w:color w:val="17365D" w:themeColor="text2" w:themeShade="BF"/>
                <w:lang w:val="en-US"/>
              </w:rPr>
              <w:t xml:space="preserve">illiquid, </w:t>
            </w:r>
            <w:r w:rsidR="000037DD">
              <w:rPr>
                <w:color w:val="17365D" w:themeColor="text2" w:themeShade="BF"/>
                <w:lang w:val="en-US"/>
              </w:rPr>
              <w:t>supply-constrained and expensive. But there are no insurmountable barriers, as SPF’s £1 billion of investment to date demonstrates.</w:t>
            </w:r>
            <w:r>
              <w:rPr>
                <w:color w:val="17365D" w:themeColor="text2" w:themeShade="BF"/>
                <w:lang w:val="en-US"/>
              </w:rPr>
              <w:t xml:space="preserve"> </w:t>
            </w:r>
          </w:p>
          <w:p w14:paraId="2C979164" w14:textId="77777777"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14:paraId="2C979165" w14:textId="77777777" w:rsidR="005F1411" w:rsidRPr="000037DD" w:rsidRDefault="00E85013" w:rsidP="005F1411">
            <w:pPr>
              <w:rPr>
                <w:color w:val="17365D" w:themeColor="text2" w:themeShade="BF"/>
                <w:lang w:val="en-US"/>
              </w:rPr>
            </w:pPr>
            <w:r>
              <w:rPr>
                <w:color w:val="17365D" w:themeColor="text2" w:themeShade="BF"/>
                <w:lang w:val="en-US"/>
              </w:rPr>
              <w:t xml:space="preserve">Levels of investment in any asset class are largely determined by its attractiveness relative to other </w:t>
            </w:r>
            <w:r w:rsidR="005F1411">
              <w:rPr>
                <w:color w:val="17365D" w:themeColor="text2" w:themeShade="BF"/>
                <w:lang w:val="en-US"/>
              </w:rPr>
              <w:t>alternatives</w:t>
            </w:r>
            <w:r>
              <w:rPr>
                <w:color w:val="17365D" w:themeColor="text2" w:themeShade="BF"/>
                <w:lang w:val="en-US"/>
              </w:rPr>
              <w:t xml:space="preserve">. </w:t>
            </w:r>
            <w:r w:rsidR="005F1411">
              <w:rPr>
                <w:color w:val="17365D" w:themeColor="text2" w:themeShade="BF"/>
                <w:lang w:val="en-US"/>
              </w:rPr>
              <w:t xml:space="preserve">For example, the feed-in-tariff regime has been instrumental in increasing institutional investment in renewable energy. SPF has taken full advantage of this opportunity with investments of over £330m. </w:t>
            </w:r>
          </w:p>
          <w:p w14:paraId="2C979166" w14:textId="4824F795" w:rsidR="005F1411" w:rsidRDefault="005F1411" w:rsidP="005F1411">
            <w:pPr>
              <w:rPr>
                <w:color w:val="17365D" w:themeColor="text2" w:themeShade="BF"/>
                <w:lang w:val="en-US"/>
              </w:rPr>
            </w:pPr>
            <w:r>
              <w:rPr>
                <w:color w:val="17365D" w:themeColor="text2" w:themeShade="BF"/>
                <w:lang w:val="en-US"/>
              </w:rPr>
              <w:t>Investment in infrastructure would increase if the supply of</w:t>
            </w:r>
            <w:r w:rsidR="006018C2">
              <w:rPr>
                <w:color w:val="17365D" w:themeColor="text2" w:themeShade="BF"/>
                <w:lang w:val="en-US"/>
              </w:rPr>
              <w:t xml:space="preserve"> attractive </w:t>
            </w:r>
            <w:r>
              <w:rPr>
                <w:color w:val="17365D" w:themeColor="text2" w:themeShade="BF"/>
                <w:lang w:val="en-US"/>
              </w:rPr>
              <w:t xml:space="preserve">opportunities increased, or the risk/return characteristics were improved. </w:t>
            </w:r>
          </w:p>
          <w:p w14:paraId="2C979167" w14:textId="77777777" w:rsidR="00513272" w:rsidRPr="005F1411" w:rsidRDefault="00CB2A52" w:rsidP="00F15DA6">
            <w:pPr>
              <w:pStyle w:val="ListParagraph"/>
              <w:numPr>
                <w:ilvl w:val="0"/>
                <w:numId w:val="14"/>
              </w:numPr>
              <w:rPr>
                <w:i/>
              </w:rPr>
            </w:pPr>
            <w:r w:rsidRPr="005F1411">
              <w:rPr>
                <w:i/>
              </w:rPr>
              <w:t>Do you have any additional comments about this option?</w:t>
            </w:r>
          </w:p>
          <w:p w14:paraId="2C979168" w14:textId="77777777" w:rsidR="00670BC4" w:rsidRPr="00670BC4" w:rsidRDefault="00670BC4" w:rsidP="00670BC4">
            <w:pPr>
              <w:rPr>
                <w:color w:val="17365D" w:themeColor="text2" w:themeShade="BF"/>
              </w:rPr>
            </w:pPr>
            <w:r>
              <w:rPr>
                <w:color w:val="17365D" w:themeColor="text2" w:themeShade="BF"/>
              </w:rPr>
              <w:t xml:space="preserve">It </w:t>
            </w:r>
            <w:r w:rsidRPr="00670BC4">
              <w:rPr>
                <w:color w:val="17365D" w:themeColor="text2" w:themeShade="BF"/>
              </w:rPr>
              <w:t>is worth re-iterating that the LGPS in Scotland is a considerable success story.</w:t>
            </w:r>
          </w:p>
          <w:p w14:paraId="2C979169" w14:textId="50DBBECC" w:rsidR="00670BC4" w:rsidRPr="00670BC4" w:rsidRDefault="00A8357D" w:rsidP="00670BC4">
            <w:pPr>
              <w:rPr>
                <w:color w:val="17365D" w:themeColor="text2" w:themeShade="BF"/>
              </w:rPr>
            </w:pPr>
            <w:r>
              <w:rPr>
                <w:color w:val="17365D" w:themeColor="text2" w:themeShade="BF"/>
              </w:rPr>
              <w:t xml:space="preserve">This can best be evidenced in the funding position. </w:t>
            </w:r>
            <w:r w:rsidR="00670BC4" w:rsidRPr="00670BC4">
              <w:rPr>
                <w:color w:val="17365D" w:themeColor="text2" w:themeShade="BF"/>
              </w:rPr>
              <w:t xml:space="preserve">The Scottish funds are all close to or above 100% funded meaning that their primary objective has been achieved. The LGPS in Scotland has </w:t>
            </w:r>
            <w:r>
              <w:rPr>
                <w:color w:val="17365D" w:themeColor="text2" w:themeShade="BF"/>
              </w:rPr>
              <w:t xml:space="preserve">for very many years </w:t>
            </w:r>
            <w:r w:rsidR="00670BC4" w:rsidRPr="00670BC4">
              <w:rPr>
                <w:color w:val="17365D" w:themeColor="text2" w:themeShade="BF"/>
              </w:rPr>
              <w:t>been better funded than its equivalent</w:t>
            </w:r>
            <w:r>
              <w:rPr>
                <w:color w:val="17365D" w:themeColor="text2" w:themeShade="BF"/>
              </w:rPr>
              <w:t xml:space="preserve"> in England and the rest of the UK</w:t>
            </w:r>
            <w:r w:rsidR="00670BC4" w:rsidRPr="00670BC4">
              <w:rPr>
                <w:color w:val="17365D" w:themeColor="text2" w:themeShade="BF"/>
              </w:rPr>
              <w:t>.</w:t>
            </w:r>
          </w:p>
          <w:p w14:paraId="2C97916A" w14:textId="77777777" w:rsidR="00670BC4" w:rsidRPr="00670BC4" w:rsidRDefault="00670BC4" w:rsidP="00670BC4">
            <w:pPr>
              <w:rPr>
                <w:color w:val="17365D" w:themeColor="text2" w:themeShade="BF"/>
              </w:rPr>
            </w:pPr>
            <w:r w:rsidRPr="00670BC4">
              <w:rPr>
                <w:color w:val="17365D" w:themeColor="text2" w:themeShade="BF"/>
              </w:rPr>
              <w:lastRenderedPageBreak/>
              <w:t xml:space="preserve">SPF has won multiple industry awards over many years - 5 in 2017- recognising our performance, service delivery, and commitment to innovative, responsible, long-term investing. </w:t>
            </w:r>
            <w:r w:rsidR="00C95D94">
              <w:rPr>
                <w:color w:val="17365D" w:themeColor="text2" w:themeShade="BF"/>
              </w:rPr>
              <w:t>Other Scottish LGPS funds have also been frequent award-winners.</w:t>
            </w:r>
          </w:p>
          <w:p w14:paraId="2C97916B" w14:textId="3EE3B41F" w:rsidR="000C4E12" w:rsidRPr="005F1411" w:rsidRDefault="00670BC4" w:rsidP="006018C2">
            <w:pPr>
              <w:rPr>
                <w:color w:val="17365D" w:themeColor="text2" w:themeShade="BF"/>
              </w:rPr>
            </w:pPr>
            <w:r w:rsidRPr="00670BC4">
              <w:rPr>
                <w:color w:val="17365D" w:themeColor="text2" w:themeShade="BF"/>
              </w:rPr>
              <w:t>The scheme does face significant challenges in the current, difficult pensions environment</w:t>
            </w:r>
            <w:r w:rsidR="006018C2">
              <w:rPr>
                <w:color w:val="17365D" w:themeColor="text2" w:themeShade="BF"/>
              </w:rPr>
              <w:t xml:space="preserve">. A number of these are described in the SAB structural review report. </w:t>
            </w:r>
            <w:r w:rsidRPr="00670BC4">
              <w:rPr>
                <w:color w:val="17365D" w:themeColor="text2" w:themeShade="BF"/>
              </w:rPr>
              <w:t xml:space="preserve"> </w:t>
            </w:r>
            <w:r w:rsidR="006018C2">
              <w:rPr>
                <w:color w:val="17365D" w:themeColor="text2" w:themeShade="BF"/>
              </w:rPr>
              <w:t>F</w:t>
            </w:r>
            <w:r w:rsidRPr="00670BC4">
              <w:rPr>
                <w:color w:val="17365D" w:themeColor="text2" w:themeShade="BF"/>
              </w:rPr>
              <w:t>unds will need to adapt to address these</w:t>
            </w:r>
            <w:r w:rsidR="006018C2">
              <w:rPr>
                <w:color w:val="17365D" w:themeColor="text2" w:themeShade="BF"/>
              </w:rPr>
              <w:t>, but</w:t>
            </w:r>
            <w:r w:rsidRPr="00670BC4">
              <w:rPr>
                <w:color w:val="17365D" w:themeColor="text2" w:themeShade="BF"/>
              </w:rPr>
              <w:t xml:space="preserve"> these challenges do not stem from the current structure, and revising the structure is unlikely to be a panacea for them.   </w:t>
            </w:r>
          </w:p>
        </w:tc>
      </w:tr>
    </w:tbl>
    <w:p w14:paraId="2C97916D" w14:textId="77777777" w:rsidR="00670BC4" w:rsidRDefault="00670BC4" w:rsidP="00513272">
      <w:pPr>
        <w:jc w:val="right"/>
      </w:pPr>
      <w:r>
        <w:lastRenderedPageBreak/>
        <w:br w:type="page"/>
      </w:r>
    </w:p>
    <w:p w14:paraId="2C97916E" w14:textId="77777777"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14:paraId="2C979171" w14:textId="77777777" w:rsidTr="00F3009F">
        <w:tc>
          <w:tcPr>
            <w:tcW w:w="9180" w:type="dxa"/>
            <w:tcBorders>
              <w:top w:val="nil"/>
              <w:left w:val="nil"/>
              <w:right w:val="nil"/>
            </w:tcBorders>
          </w:tcPr>
          <w:p w14:paraId="2C97916F" w14:textId="77777777"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14:paraId="2C979170" w14:textId="77777777" w:rsidR="00616BC9" w:rsidRDefault="00616BC9" w:rsidP="00C22506">
            <w:r>
              <w:t>The text can wrap onto additional pages</w:t>
            </w:r>
            <w:r w:rsidR="00CB2A52">
              <w:t>.</w:t>
            </w:r>
          </w:p>
        </w:tc>
      </w:tr>
      <w:tr w:rsidR="00616BC9" w14:paraId="2C979195" w14:textId="77777777" w:rsidTr="00F3009F">
        <w:tc>
          <w:tcPr>
            <w:tcW w:w="9180" w:type="dxa"/>
          </w:tcPr>
          <w:p w14:paraId="2C979172" w14:textId="77777777" w:rsidR="00CB2A52" w:rsidRDefault="00CB2A52" w:rsidP="00F15DA6">
            <w:pPr>
              <w:pStyle w:val="ListNumber"/>
              <w:numPr>
                <w:ilvl w:val="0"/>
                <w:numId w:val="10"/>
              </w:numPr>
            </w:pPr>
            <w:r>
              <w:t xml:space="preserve">Cost of investing: </w:t>
            </w:r>
          </w:p>
          <w:p w14:paraId="2C979173" w14:textId="77777777" w:rsidR="00CB2A52" w:rsidRDefault="00CB2A52" w:rsidP="00C22506">
            <w:pPr>
              <w:pStyle w:val="Question"/>
            </w:pPr>
            <w:r w:rsidRPr="00F50CBA">
              <w:t xml:space="preserve">What impact do you think promoting agreements between funds would have on investment costs? </w:t>
            </w:r>
          </w:p>
          <w:p w14:paraId="2C979174" w14:textId="77777777" w:rsidR="00670BC4" w:rsidRPr="00670BC4" w:rsidRDefault="00670BC4" w:rsidP="00670BC4">
            <w:pPr>
              <w:rPr>
                <w:color w:val="17365D" w:themeColor="text2" w:themeShade="BF"/>
                <w:lang w:val="en-US"/>
              </w:rPr>
            </w:pPr>
            <w:r>
              <w:rPr>
                <w:color w:val="17365D" w:themeColor="text2" w:themeShade="BF"/>
                <w:lang w:val="en-US"/>
              </w:rPr>
              <w:t xml:space="preserve">There could be some saving from, for instance, commissioning joint consultancy reports or reviews. Joint procurement of investment managers </w:t>
            </w:r>
            <w:r w:rsidR="00A71D1F">
              <w:rPr>
                <w:color w:val="17365D" w:themeColor="text2" w:themeShade="BF"/>
                <w:lang w:val="en-US"/>
              </w:rPr>
              <w:t xml:space="preserve">and other services </w:t>
            </w:r>
            <w:r>
              <w:rPr>
                <w:color w:val="17365D" w:themeColor="text2" w:themeShade="BF"/>
                <w:lang w:val="en-US"/>
              </w:rPr>
              <w:t xml:space="preserve">can also save duplication of the cost of the exercise and lead to reduced fees.  </w:t>
            </w:r>
          </w:p>
          <w:p w14:paraId="2C979175" w14:textId="77777777" w:rsidR="00CB2A52" w:rsidRDefault="00CB2A52" w:rsidP="00C22506">
            <w:pPr>
              <w:pStyle w:val="Question"/>
            </w:pPr>
            <w:r>
              <w:t>What w</w:t>
            </w:r>
            <w:r w:rsidRPr="00F50CBA">
              <w:t xml:space="preserve">ould be the positive impacts? </w:t>
            </w:r>
          </w:p>
          <w:p w14:paraId="2C979176" w14:textId="77777777" w:rsidR="00670BC4" w:rsidRPr="00670BC4" w:rsidRDefault="00670BC4" w:rsidP="00670BC4">
            <w:pPr>
              <w:rPr>
                <w:lang w:val="en-US"/>
              </w:rPr>
            </w:pPr>
            <w:r w:rsidRPr="00670BC4">
              <w:rPr>
                <w:color w:val="17365D" w:themeColor="text2" w:themeShade="BF"/>
                <w:lang w:val="en-US"/>
              </w:rPr>
              <w:t>Some cost saving</w:t>
            </w:r>
            <w:r>
              <w:rPr>
                <w:color w:val="17365D" w:themeColor="text2" w:themeShade="BF"/>
                <w:lang w:val="en-US"/>
              </w:rPr>
              <w:t xml:space="preserve">, though this </w:t>
            </w:r>
            <w:r w:rsidR="00C95D94">
              <w:rPr>
                <w:color w:val="17365D" w:themeColor="text2" w:themeShade="BF"/>
                <w:lang w:val="en-US"/>
              </w:rPr>
              <w:t>is unlikely to be material for SPF</w:t>
            </w:r>
            <w:r>
              <w:rPr>
                <w:color w:val="17365D" w:themeColor="text2" w:themeShade="BF"/>
                <w:lang w:val="en-US"/>
              </w:rPr>
              <w:t>.</w:t>
            </w:r>
            <w:r w:rsidRPr="00670BC4">
              <w:rPr>
                <w:color w:val="17365D" w:themeColor="text2" w:themeShade="BF"/>
                <w:lang w:val="en-US"/>
              </w:rPr>
              <w:t xml:space="preserve"> </w:t>
            </w:r>
            <w:r w:rsidR="00A71D1F">
              <w:rPr>
                <w:color w:val="17365D" w:themeColor="text2" w:themeShade="BF"/>
                <w:lang w:val="en-US"/>
              </w:rPr>
              <w:t>Positive benefits</w:t>
            </w:r>
            <w:r w:rsidR="00C95D94">
              <w:rPr>
                <w:color w:val="17365D" w:themeColor="text2" w:themeShade="BF"/>
                <w:lang w:val="en-US"/>
              </w:rPr>
              <w:t xml:space="preserve">, particularly for smaller funds </w:t>
            </w:r>
            <w:r w:rsidR="00733DA3">
              <w:rPr>
                <w:color w:val="17365D" w:themeColor="text2" w:themeShade="BF"/>
                <w:lang w:val="en-US"/>
              </w:rPr>
              <w:t xml:space="preserve">are more likely to be </w:t>
            </w:r>
            <w:r w:rsidR="00A71D1F">
              <w:rPr>
                <w:color w:val="17365D" w:themeColor="text2" w:themeShade="BF"/>
                <w:lang w:val="en-US"/>
              </w:rPr>
              <w:t xml:space="preserve">shared </w:t>
            </w:r>
            <w:r w:rsidR="00733DA3">
              <w:rPr>
                <w:color w:val="17365D" w:themeColor="text2" w:themeShade="BF"/>
                <w:lang w:val="en-US"/>
              </w:rPr>
              <w:t xml:space="preserve">and improved </w:t>
            </w:r>
            <w:r w:rsidR="00A71D1F">
              <w:rPr>
                <w:color w:val="17365D" w:themeColor="text2" w:themeShade="BF"/>
                <w:lang w:val="en-US"/>
              </w:rPr>
              <w:t xml:space="preserve">understanding </w:t>
            </w:r>
            <w:r w:rsidR="00733DA3">
              <w:rPr>
                <w:color w:val="17365D" w:themeColor="text2" w:themeShade="BF"/>
                <w:lang w:val="en-US"/>
              </w:rPr>
              <w:t xml:space="preserve">of risk, </w:t>
            </w:r>
            <w:r w:rsidR="00A71D1F">
              <w:rPr>
                <w:color w:val="17365D" w:themeColor="text2" w:themeShade="BF"/>
                <w:lang w:val="en-US"/>
              </w:rPr>
              <w:t>and more efficient use of internal resources.</w:t>
            </w:r>
          </w:p>
          <w:p w14:paraId="2C979177" w14:textId="77777777" w:rsidR="00CB2A52" w:rsidRDefault="00CB2A52" w:rsidP="00C22506">
            <w:pPr>
              <w:pStyle w:val="Question"/>
            </w:pPr>
            <w:r>
              <w:t>What w</w:t>
            </w:r>
            <w:r w:rsidRPr="00F50CBA">
              <w:t>ould be the negative impacts?</w:t>
            </w:r>
          </w:p>
          <w:p w14:paraId="2C979178" w14:textId="77777777" w:rsidR="00670BC4" w:rsidRPr="00A71D1F" w:rsidRDefault="00C95D94" w:rsidP="00670BC4">
            <w:pPr>
              <w:rPr>
                <w:color w:val="17365D" w:themeColor="text2" w:themeShade="BF"/>
                <w:lang w:val="en-US"/>
              </w:rPr>
            </w:pPr>
            <w:r>
              <w:rPr>
                <w:color w:val="17365D" w:themeColor="text2" w:themeShade="BF"/>
                <w:lang w:val="en-US"/>
              </w:rPr>
              <w:t>None.</w:t>
            </w:r>
          </w:p>
          <w:p w14:paraId="2C979179" w14:textId="77777777" w:rsidR="00CB2A52" w:rsidRDefault="00CB2A52" w:rsidP="00F15DA6">
            <w:pPr>
              <w:pStyle w:val="ListNumber"/>
              <w:numPr>
                <w:ilvl w:val="0"/>
                <w:numId w:val="10"/>
              </w:numPr>
            </w:pPr>
            <w:r>
              <w:t>Governance:</w:t>
            </w:r>
          </w:p>
          <w:p w14:paraId="2C97917A" w14:textId="77777777" w:rsidR="00CB2A52" w:rsidRDefault="00CB2A52" w:rsidP="00C22506">
            <w:pPr>
              <w:pStyle w:val="Question"/>
            </w:pPr>
            <w:r w:rsidRPr="00F50CBA">
              <w:t xml:space="preserve">What impact do you think promoting agreements between funds would have on </w:t>
            </w:r>
            <w:r>
              <w:t>governance</w:t>
            </w:r>
            <w:r w:rsidRPr="00F50CBA">
              <w:t xml:space="preserve">? </w:t>
            </w:r>
          </w:p>
          <w:p w14:paraId="2C97917B" w14:textId="77777777" w:rsidR="00A71D1F" w:rsidRPr="00A71D1F" w:rsidRDefault="00253AB5" w:rsidP="00A71D1F">
            <w:pPr>
              <w:rPr>
                <w:color w:val="17365D" w:themeColor="text2" w:themeShade="BF"/>
                <w:lang w:val="en-US"/>
              </w:rPr>
            </w:pPr>
            <w:r>
              <w:rPr>
                <w:color w:val="17365D" w:themeColor="text2" w:themeShade="BF"/>
                <w:lang w:val="en-US"/>
              </w:rPr>
              <w:t>No significant impact</w:t>
            </w:r>
            <w:r w:rsidR="00C95D94">
              <w:rPr>
                <w:color w:val="17365D" w:themeColor="text2" w:themeShade="BF"/>
                <w:lang w:val="en-US"/>
              </w:rPr>
              <w:t xml:space="preserve"> on </w:t>
            </w:r>
            <w:r w:rsidR="004C3922">
              <w:rPr>
                <w:color w:val="17365D" w:themeColor="text2" w:themeShade="BF"/>
                <w:lang w:val="en-US"/>
              </w:rPr>
              <w:t xml:space="preserve">individual </w:t>
            </w:r>
            <w:r w:rsidR="00C95D94">
              <w:rPr>
                <w:color w:val="17365D" w:themeColor="text2" w:themeShade="BF"/>
                <w:lang w:val="en-US"/>
              </w:rPr>
              <w:t xml:space="preserve">governance structures, but may lead to better outcomes. </w:t>
            </w:r>
            <w:r>
              <w:rPr>
                <w:color w:val="17365D" w:themeColor="text2" w:themeShade="BF"/>
                <w:lang w:val="en-US"/>
              </w:rPr>
              <w:t xml:space="preserve"> </w:t>
            </w:r>
          </w:p>
          <w:p w14:paraId="2C97917C" w14:textId="77777777" w:rsidR="00CB2A52" w:rsidRDefault="00CB2A52" w:rsidP="00C22506">
            <w:pPr>
              <w:pStyle w:val="Question"/>
            </w:pPr>
            <w:r>
              <w:t>What w</w:t>
            </w:r>
            <w:r w:rsidRPr="00F50CBA">
              <w:t xml:space="preserve">ould be the positive impacts? </w:t>
            </w:r>
          </w:p>
          <w:p w14:paraId="2C97917D" w14:textId="77777777" w:rsidR="00253AB5" w:rsidRPr="00253AB5" w:rsidRDefault="00253AB5" w:rsidP="00253AB5">
            <w:pPr>
              <w:rPr>
                <w:color w:val="17365D" w:themeColor="text2" w:themeShade="BF"/>
                <w:lang w:val="en-US"/>
              </w:rPr>
            </w:pPr>
            <w:r>
              <w:rPr>
                <w:color w:val="17365D" w:themeColor="text2" w:themeShade="BF"/>
                <w:lang w:val="en-US"/>
              </w:rPr>
              <w:t>Reduce</w:t>
            </w:r>
            <w:r w:rsidR="004C3922">
              <w:rPr>
                <w:color w:val="17365D" w:themeColor="text2" w:themeShade="BF"/>
                <w:lang w:val="en-US"/>
              </w:rPr>
              <w:t>d</w:t>
            </w:r>
            <w:r>
              <w:rPr>
                <w:color w:val="17365D" w:themeColor="text2" w:themeShade="BF"/>
                <w:lang w:val="en-US"/>
              </w:rPr>
              <w:t xml:space="preserve"> duplication of </w:t>
            </w:r>
            <w:r w:rsidR="004C3922">
              <w:rPr>
                <w:color w:val="17365D" w:themeColor="text2" w:themeShade="BF"/>
                <w:lang w:val="en-US"/>
              </w:rPr>
              <w:t xml:space="preserve">governance </w:t>
            </w:r>
            <w:r>
              <w:rPr>
                <w:color w:val="17365D" w:themeColor="text2" w:themeShade="BF"/>
                <w:lang w:val="en-US"/>
              </w:rPr>
              <w:t>effort.</w:t>
            </w:r>
            <w:r w:rsidR="004C3922">
              <w:rPr>
                <w:color w:val="17365D" w:themeColor="text2" w:themeShade="BF"/>
                <w:lang w:val="en-US"/>
              </w:rPr>
              <w:t xml:space="preserve"> Improved collective governance of the scheme</w:t>
            </w:r>
          </w:p>
          <w:p w14:paraId="2C97917E" w14:textId="77777777" w:rsidR="00CB2A52" w:rsidRDefault="00CB2A52" w:rsidP="00C22506">
            <w:pPr>
              <w:pStyle w:val="Question"/>
            </w:pPr>
            <w:r>
              <w:t>What w</w:t>
            </w:r>
            <w:r w:rsidRPr="00F50CBA">
              <w:t>ould be the negative impacts?</w:t>
            </w:r>
          </w:p>
          <w:p w14:paraId="2C97917F" w14:textId="77777777" w:rsidR="00253AB5" w:rsidRPr="00371934" w:rsidRDefault="00253AB5" w:rsidP="00253AB5">
            <w:pPr>
              <w:rPr>
                <w:color w:val="17365D" w:themeColor="text2" w:themeShade="BF"/>
                <w:lang w:val="en-US"/>
              </w:rPr>
            </w:pPr>
            <w:r w:rsidRPr="00371934">
              <w:rPr>
                <w:color w:val="17365D" w:themeColor="text2" w:themeShade="BF"/>
                <w:lang w:val="en-US"/>
              </w:rPr>
              <w:lastRenderedPageBreak/>
              <w:t>No significant negative impacts</w:t>
            </w:r>
            <w:r w:rsidR="00C95D94">
              <w:rPr>
                <w:color w:val="17365D" w:themeColor="text2" w:themeShade="BF"/>
                <w:lang w:val="en-US"/>
              </w:rPr>
              <w:t>,</w:t>
            </w:r>
            <w:r w:rsidR="00C95D94" w:rsidRPr="00C95D94">
              <w:rPr>
                <w:color w:val="17365D" w:themeColor="text2" w:themeShade="BF"/>
                <w:lang w:val="en-US"/>
              </w:rPr>
              <w:t xml:space="preserve"> but the need to co-ordinate activity and decision-making would be a complication.</w:t>
            </w:r>
          </w:p>
          <w:p w14:paraId="2C979180" w14:textId="77777777" w:rsidR="00CB2A52" w:rsidRDefault="00CB2A52" w:rsidP="00F15DA6">
            <w:pPr>
              <w:pStyle w:val="ListNumber"/>
              <w:numPr>
                <w:ilvl w:val="0"/>
                <w:numId w:val="10"/>
              </w:numPr>
            </w:pPr>
            <w:r>
              <w:t xml:space="preserve">Operating risks: </w:t>
            </w:r>
          </w:p>
          <w:p w14:paraId="2C979181" w14:textId="77777777"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14:paraId="2C979182" w14:textId="77777777" w:rsidR="004C3922" w:rsidRPr="004C3922" w:rsidRDefault="004C3922" w:rsidP="004C3922">
            <w:pPr>
              <w:rPr>
                <w:color w:val="17365D" w:themeColor="text2" w:themeShade="BF"/>
                <w:lang w:val="en-US"/>
              </w:rPr>
            </w:pPr>
            <w:r w:rsidRPr="004C3922">
              <w:rPr>
                <w:color w:val="17365D" w:themeColor="text2" w:themeShade="BF"/>
                <w:lang w:val="en-US"/>
              </w:rPr>
              <w:t>No significant impact for SPF</w:t>
            </w:r>
            <w:r>
              <w:rPr>
                <w:color w:val="17365D" w:themeColor="text2" w:themeShade="BF"/>
                <w:lang w:val="en-US"/>
              </w:rPr>
              <w:t>.</w:t>
            </w:r>
          </w:p>
          <w:p w14:paraId="2C979183" w14:textId="77777777" w:rsidR="00CB2A52" w:rsidRDefault="00CB2A52" w:rsidP="00C22506">
            <w:pPr>
              <w:pStyle w:val="Question"/>
            </w:pPr>
            <w:r>
              <w:t>What w</w:t>
            </w:r>
            <w:r w:rsidRPr="00F50CBA">
              <w:t xml:space="preserve">ould be the positive impacts? </w:t>
            </w:r>
          </w:p>
          <w:p w14:paraId="2C979184" w14:textId="77777777" w:rsidR="004C3922" w:rsidRPr="00253AB5" w:rsidRDefault="004C3922" w:rsidP="004C3922">
            <w:pPr>
              <w:rPr>
                <w:color w:val="17365D" w:themeColor="text2" w:themeShade="BF"/>
                <w:lang w:val="en-US"/>
              </w:rPr>
            </w:pPr>
            <w:r>
              <w:rPr>
                <w:color w:val="17365D" w:themeColor="text2" w:themeShade="BF"/>
                <w:lang w:val="en-US"/>
              </w:rPr>
              <w:t>Could improve risk management and support for smaller funds.</w:t>
            </w:r>
          </w:p>
          <w:p w14:paraId="2C979185" w14:textId="77777777" w:rsidR="00CB2A52" w:rsidRDefault="00CB2A52" w:rsidP="00C22506">
            <w:pPr>
              <w:pStyle w:val="Question"/>
            </w:pPr>
            <w:r>
              <w:t>What w</w:t>
            </w:r>
            <w:r w:rsidRPr="00F50CBA">
              <w:t>ould be the negative impacts?</w:t>
            </w:r>
          </w:p>
          <w:p w14:paraId="2C979186" w14:textId="7A1B0A9D" w:rsidR="00AD1D40" w:rsidRPr="00AD1D40" w:rsidRDefault="00A8357D" w:rsidP="00AD1D40">
            <w:pPr>
              <w:rPr>
                <w:lang w:val="en-US"/>
              </w:rPr>
            </w:pPr>
            <w:r>
              <w:rPr>
                <w:color w:val="17365D" w:themeColor="text2" w:themeShade="BF"/>
                <w:lang w:val="en-US"/>
              </w:rPr>
              <w:t xml:space="preserve">No significant </w:t>
            </w:r>
            <w:r w:rsidR="00F3009F">
              <w:rPr>
                <w:color w:val="17365D" w:themeColor="text2" w:themeShade="BF"/>
                <w:lang w:val="en-US"/>
              </w:rPr>
              <w:t>negative</w:t>
            </w:r>
            <w:r w:rsidR="00AD1D40">
              <w:rPr>
                <w:color w:val="17365D" w:themeColor="text2" w:themeShade="BF"/>
                <w:lang w:val="en-US"/>
              </w:rPr>
              <w:t xml:space="preserve"> impact.</w:t>
            </w:r>
          </w:p>
          <w:p w14:paraId="2C979187" w14:textId="77777777" w:rsidR="00CB2A52" w:rsidRPr="00F50CBA" w:rsidRDefault="00CB2A52" w:rsidP="00F15DA6">
            <w:pPr>
              <w:pStyle w:val="ListNumber"/>
              <w:numPr>
                <w:ilvl w:val="0"/>
                <w:numId w:val="10"/>
              </w:numPr>
              <w:rPr>
                <w:u w:val="single"/>
              </w:rPr>
            </w:pPr>
            <w:r>
              <w:t>Infrastructure:</w:t>
            </w:r>
          </w:p>
          <w:p w14:paraId="2C979188" w14:textId="77777777"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14:paraId="2C979189" w14:textId="77777777" w:rsidR="00AD1D40" w:rsidRPr="00AD1D40" w:rsidRDefault="00AD1D40" w:rsidP="00AD1D40">
            <w:pPr>
              <w:rPr>
                <w:color w:val="17365D" w:themeColor="text2" w:themeShade="BF"/>
                <w:lang w:val="en-US"/>
              </w:rPr>
            </w:pPr>
            <w:r>
              <w:rPr>
                <w:color w:val="17365D" w:themeColor="text2" w:themeShade="BF"/>
                <w:lang w:val="en-US"/>
              </w:rPr>
              <w:t>Jointly</w:t>
            </w:r>
            <w:r w:rsidR="00647C8D">
              <w:rPr>
                <w:color w:val="17365D" w:themeColor="text2" w:themeShade="BF"/>
                <w:lang w:val="en-US"/>
              </w:rPr>
              <w:t>-</w:t>
            </w:r>
            <w:r>
              <w:rPr>
                <w:color w:val="17365D" w:themeColor="text2" w:themeShade="BF"/>
                <w:lang w:val="en-US"/>
              </w:rPr>
              <w:t>commissioned consultanc</w:t>
            </w:r>
            <w:r w:rsidR="00647C8D">
              <w:rPr>
                <w:color w:val="17365D" w:themeColor="text2" w:themeShade="BF"/>
                <w:lang w:val="en-US"/>
              </w:rPr>
              <w:t>y reports, due diligence and legal review could reduce costs</w:t>
            </w:r>
            <w:r w:rsidR="004C3922">
              <w:rPr>
                <w:color w:val="17365D" w:themeColor="text2" w:themeShade="BF"/>
                <w:lang w:val="en-US"/>
              </w:rPr>
              <w:t xml:space="preserve"> and facilitate some additional investment</w:t>
            </w:r>
            <w:r w:rsidR="00647C8D">
              <w:rPr>
                <w:color w:val="17365D" w:themeColor="text2" w:themeShade="BF"/>
                <w:lang w:val="en-US"/>
              </w:rPr>
              <w:t xml:space="preserve">.  </w:t>
            </w:r>
          </w:p>
          <w:p w14:paraId="2C97918A" w14:textId="77777777" w:rsidR="00CB2A52" w:rsidRDefault="00CB2A52" w:rsidP="00C22506">
            <w:pPr>
              <w:pStyle w:val="Question"/>
            </w:pPr>
            <w:r>
              <w:t>What w</w:t>
            </w:r>
            <w:r w:rsidRPr="00F50CBA">
              <w:t xml:space="preserve">ould be the positive impacts? </w:t>
            </w:r>
          </w:p>
          <w:p w14:paraId="2C97918B" w14:textId="77777777" w:rsidR="00647C8D" w:rsidRPr="00647C8D" w:rsidRDefault="00647C8D" w:rsidP="00647C8D">
            <w:pPr>
              <w:rPr>
                <w:lang w:val="en-US"/>
              </w:rPr>
            </w:pPr>
            <w:r w:rsidRPr="00647C8D">
              <w:rPr>
                <w:color w:val="17365D" w:themeColor="text2" w:themeShade="BF"/>
                <w:lang w:val="en-US"/>
              </w:rPr>
              <w:t>Marginal benefit to larger funds</w:t>
            </w:r>
            <w:r>
              <w:rPr>
                <w:color w:val="17365D" w:themeColor="text2" w:themeShade="BF"/>
                <w:lang w:val="en-US"/>
              </w:rPr>
              <w:t>. M</w:t>
            </w:r>
            <w:r w:rsidRPr="00647C8D">
              <w:rPr>
                <w:color w:val="17365D" w:themeColor="text2" w:themeShade="BF"/>
                <w:lang w:val="en-US"/>
              </w:rPr>
              <w:t>ight remove perceived barrier</w:t>
            </w:r>
            <w:r w:rsidR="00F3009F">
              <w:rPr>
                <w:color w:val="17365D" w:themeColor="text2" w:themeShade="BF"/>
                <w:lang w:val="en-US"/>
              </w:rPr>
              <w:t>s</w:t>
            </w:r>
            <w:r w:rsidRPr="00647C8D">
              <w:rPr>
                <w:color w:val="17365D" w:themeColor="text2" w:themeShade="BF"/>
                <w:lang w:val="en-US"/>
              </w:rPr>
              <w:t xml:space="preserve"> for smaller funds. </w:t>
            </w:r>
          </w:p>
          <w:p w14:paraId="2C97918C" w14:textId="77777777" w:rsidR="00CB2A52" w:rsidRDefault="00CB2A52" w:rsidP="00C22506">
            <w:pPr>
              <w:pStyle w:val="Question"/>
            </w:pPr>
            <w:r>
              <w:t>What w</w:t>
            </w:r>
            <w:r w:rsidRPr="00F50CBA">
              <w:t>ould be the negative impacts?</w:t>
            </w:r>
          </w:p>
          <w:p w14:paraId="2C97918D" w14:textId="77777777" w:rsidR="00647C8D" w:rsidRPr="00647C8D" w:rsidRDefault="00647C8D" w:rsidP="00647C8D">
            <w:pPr>
              <w:rPr>
                <w:color w:val="17365D" w:themeColor="text2" w:themeShade="BF"/>
                <w:lang w:val="en-US"/>
              </w:rPr>
            </w:pPr>
            <w:r>
              <w:rPr>
                <w:color w:val="17365D" w:themeColor="text2" w:themeShade="BF"/>
                <w:lang w:val="en-US"/>
              </w:rPr>
              <w:t>No significant negative impact.</w:t>
            </w:r>
          </w:p>
          <w:p w14:paraId="2C97918E" w14:textId="77777777" w:rsidR="00CB2A52" w:rsidRDefault="00CB2A52" w:rsidP="00F15DA6">
            <w:pPr>
              <w:pStyle w:val="ListNumber"/>
              <w:numPr>
                <w:ilvl w:val="0"/>
                <w:numId w:val="10"/>
              </w:numPr>
            </w:pPr>
            <w:r>
              <w:t>Do you have any additional comments about this option?</w:t>
            </w:r>
          </w:p>
          <w:p w14:paraId="2C97918F" w14:textId="77777777" w:rsidR="00647C8D" w:rsidRDefault="00647C8D" w:rsidP="00670BC4">
            <w:pPr>
              <w:rPr>
                <w:color w:val="17365D" w:themeColor="text2" w:themeShade="BF"/>
              </w:rPr>
            </w:pPr>
            <w:r>
              <w:rPr>
                <w:color w:val="17365D" w:themeColor="text2" w:themeShade="BF"/>
              </w:rPr>
              <w:t>Significant co-operation between the Scottish funds and the wider LGPS network already exists.</w:t>
            </w:r>
          </w:p>
          <w:p w14:paraId="2C979190" w14:textId="77777777" w:rsidR="00616BC9" w:rsidRDefault="00647C8D" w:rsidP="00647C8D">
            <w:pPr>
              <w:rPr>
                <w:color w:val="17365D" w:themeColor="text2" w:themeShade="BF"/>
              </w:rPr>
            </w:pPr>
            <w:r>
              <w:rPr>
                <w:color w:val="17365D" w:themeColor="text2" w:themeShade="BF"/>
              </w:rPr>
              <w:t xml:space="preserve">LGPS </w:t>
            </w:r>
            <w:r w:rsidR="004C3922">
              <w:rPr>
                <w:color w:val="17365D" w:themeColor="text2" w:themeShade="BF"/>
              </w:rPr>
              <w:t xml:space="preserve">(UK) </w:t>
            </w:r>
            <w:r>
              <w:rPr>
                <w:color w:val="17365D" w:themeColor="text2" w:themeShade="BF"/>
              </w:rPr>
              <w:t xml:space="preserve">National Frameworks are in place </w:t>
            </w:r>
            <w:r w:rsidR="00467551">
              <w:rPr>
                <w:color w:val="17365D" w:themeColor="text2" w:themeShade="BF"/>
              </w:rPr>
              <w:t xml:space="preserve">and are widely used </w:t>
            </w:r>
            <w:r>
              <w:rPr>
                <w:color w:val="17365D" w:themeColor="text2" w:themeShade="BF"/>
              </w:rPr>
              <w:t xml:space="preserve">for a range of services including actuarial, investment consultancy, stewardship, global custody, performance and cost monitoring, legal, transition management and third party administration services. </w:t>
            </w:r>
          </w:p>
          <w:p w14:paraId="2C979191" w14:textId="77777777" w:rsidR="00467551" w:rsidRDefault="00647C8D" w:rsidP="00467551">
            <w:pPr>
              <w:rPr>
                <w:color w:val="17365D" w:themeColor="text2" w:themeShade="BF"/>
              </w:rPr>
            </w:pPr>
            <w:r>
              <w:rPr>
                <w:color w:val="17365D" w:themeColor="text2" w:themeShade="BF"/>
              </w:rPr>
              <w:lastRenderedPageBreak/>
              <w:t xml:space="preserve">Scottish </w:t>
            </w:r>
            <w:r w:rsidR="004C3922">
              <w:rPr>
                <w:color w:val="17365D" w:themeColor="text2" w:themeShade="BF"/>
              </w:rPr>
              <w:t xml:space="preserve">LGPS </w:t>
            </w:r>
            <w:r>
              <w:rPr>
                <w:color w:val="17365D" w:themeColor="text2" w:themeShade="BF"/>
              </w:rPr>
              <w:t>framework agreem</w:t>
            </w:r>
            <w:r w:rsidR="00467551">
              <w:rPr>
                <w:color w:val="17365D" w:themeColor="text2" w:themeShade="BF"/>
              </w:rPr>
              <w:t>e</w:t>
            </w:r>
            <w:r>
              <w:rPr>
                <w:color w:val="17365D" w:themeColor="text2" w:themeShade="BF"/>
              </w:rPr>
              <w:t xml:space="preserve">nts </w:t>
            </w:r>
            <w:r w:rsidR="00467551">
              <w:rPr>
                <w:color w:val="17365D" w:themeColor="text2" w:themeShade="BF"/>
              </w:rPr>
              <w:t>have been put in place for portfolio management, member tracing, and scheme administration.</w:t>
            </w:r>
          </w:p>
          <w:p w14:paraId="2C979192" w14:textId="77777777" w:rsidR="008F1C07" w:rsidRDefault="008F1C07" w:rsidP="00467551">
            <w:pPr>
              <w:rPr>
                <w:color w:val="17365D" w:themeColor="text2" w:themeShade="BF"/>
              </w:rPr>
            </w:pPr>
            <w:r>
              <w:rPr>
                <w:color w:val="17365D" w:themeColor="text2" w:themeShade="BF"/>
              </w:rPr>
              <w:t xml:space="preserve">SPF has carried out joint due diligence with other funds on </w:t>
            </w:r>
            <w:r w:rsidR="004C3922">
              <w:rPr>
                <w:color w:val="17365D" w:themeColor="text2" w:themeShade="BF"/>
              </w:rPr>
              <w:t xml:space="preserve">some </w:t>
            </w:r>
            <w:r>
              <w:rPr>
                <w:color w:val="17365D" w:themeColor="text2" w:themeShade="BF"/>
              </w:rPr>
              <w:t>investments.</w:t>
            </w:r>
          </w:p>
          <w:p w14:paraId="2C979193" w14:textId="77777777" w:rsidR="00467551" w:rsidRDefault="00467551" w:rsidP="00467551">
            <w:pPr>
              <w:rPr>
                <w:color w:val="17365D" w:themeColor="text2" w:themeShade="BF"/>
              </w:rPr>
            </w:pPr>
            <w:r>
              <w:rPr>
                <w:color w:val="17365D" w:themeColor="text2" w:themeShade="BF"/>
              </w:rPr>
              <w:t>Introduction of LGPS 2015</w:t>
            </w:r>
            <w:r w:rsidR="00F3009F">
              <w:rPr>
                <w:color w:val="17365D" w:themeColor="text2" w:themeShade="BF"/>
              </w:rPr>
              <w:t>, and the associated member and employer communications,</w:t>
            </w:r>
            <w:r>
              <w:rPr>
                <w:color w:val="17365D" w:themeColor="text2" w:themeShade="BF"/>
              </w:rPr>
              <w:t xml:space="preserve"> was a </w:t>
            </w:r>
            <w:r w:rsidR="00F3009F">
              <w:rPr>
                <w:color w:val="17365D" w:themeColor="text2" w:themeShade="BF"/>
              </w:rPr>
              <w:t xml:space="preserve">large-scale </w:t>
            </w:r>
            <w:r>
              <w:rPr>
                <w:color w:val="17365D" w:themeColor="text2" w:themeShade="BF"/>
              </w:rPr>
              <w:t>collaborative exercise between</w:t>
            </w:r>
            <w:r w:rsidR="00F3009F">
              <w:rPr>
                <w:color w:val="17365D" w:themeColor="text2" w:themeShade="BF"/>
              </w:rPr>
              <w:t xml:space="preserve"> all </w:t>
            </w:r>
            <w:r>
              <w:rPr>
                <w:color w:val="17365D" w:themeColor="text2" w:themeShade="BF"/>
              </w:rPr>
              <w:t xml:space="preserve">the </w:t>
            </w:r>
            <w:r w:rsidR="00F3009F">
              <w:rPr>
                <w:color w:val="17365D" w:themeColor="text2" w:themeShade="BF"/>
              </w:rPr>
              <w:t xml:space="preserve">Scottish </w:t>
            </w:r>
            <w:r>
              <w:rPr>
                <w:color w:val="17365D" w:themeColor="text2" w:themeShade="BF"/>
              </w:rPr>
              <w:t xml:space="preserve">funds.   </w:t>
            </w:r>
          </w:p>
          <w:p w14:paraId="2C979194" w14:textId="155F7471" w:rsidR="00647C8D" w:rsidRDefault="00733DA3" w:rsidP="00467551">
            <w:r w:rsidRPr="00733DA3">
              <w:rPr>
                <w:color w:val="17365D" w:themeColor="text2" w:themeShade="BF"/>
              </w:rPr>
              <w:t xml:space="preserve">There is undoubtedly scope </w:t>
            </w:r>
            <w:r w:rsidR="00815A78">
              <w:rPr>
                <w:color w:val="17365D" w:themeColor="text2" w:themeShade="BF"/>
              </w:rPr>
              <w:t xml:space="preserve">and willingness </w:t>
            </w:r>
            <w:r w:rsidRPr="00733DA3">
              <w:rPr>
                <w:color w:val="17365D" w:themeColor="text2" w:themeShade="BF"/>
              </w:rPr>
              <w:t>to bui</w:t>
            </w:r>
            <w:r>
              <w:rPr>
                <w:color w:val="17365D" w:themeColor="text2" w:themeShade="BF"/>
              </w:rPr>
              <w:t>l</w:t>
            </w:r>
            <w:r w:rsidRPr="00733DA3">
              <w:rPr>
                <w:color w:val="17365D" w:themeColor="text2" w:themeShade="BF"/>
              </w:rPr>
              <w:t>d further on these initiatives.</w:t>
            </w:r>
          </w:p>
        </w:tc>
      </w:tr>
    </w:tbl>
    <w:p w14:paraId="2C979196" w14:textId="77777777" w:rsidR="00616BC9" w:rsidRDefault="00616BC9" w:rsidP="00513272">
      <w:pPr>
        <w:jc w:val="right"/>
      </w:pPr>
    </w:p>
    <w:p w14:paraId="2C979197"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2C97919A" w14:textId="77777777" w:rsidTr="004F5BA0">
        <w:tc>
          <w:tcPr>
            <w:tcW w:w="9026" w:type="dxa"/>
            <w:tcBorders>
              <w:top w:val="nil"/>
              <w:left w:val="nil"/>
              <w:right w:val="nil"/>
            </w:tcBorders>
          </w:tcPr>
          <w:p w14:paraId="2C979198" w14:textId="77777777" w:rsidR="00C22506" w:rsidRDefault="00616BC9" w:rsidP="00C22506">
            <w:pPr>
              <w:pStyle w:val="Heading2"/>
              <w:outlineLvl w:val="1"/>
            </w:pPr>
            <w:r>
              <w:lastRenderedPageBreak/>
              <w:t xml:space="preserve">Question 3: </w:t>
            </w:r>
            <w:r w:rsidRPr="00616BC9">
              <w:t>Pool investments between the 11 funds</w:t>
            </w:r>
          </w:p>
          <w:p w14:paraId="2C979199" w14:textId="77777777" w:rsidR="00616BC9" w:rsidRDefault="00616BC9" w:rsidP="00C22506">
            <w:r>
              <w:t>The text can wrap onto additional pages</w:t>
            </w:r>
            <w:r w:rsidR="00CB2A52">
              <w:t>.</w:t>
            </w:r>
          </w:p>
        </w:tc>
      </w:tr>
      <w:tr w:rsidR="00616BC9" w14:paraId="2C9791CD" w14:textId="77777777" w:rsidTr="004F5BA0">
        <w:tc>
          <w:tcPr>
            <w:tcW w:w="9026" w:type="dxa"/>
          </w:tcPr>
          <w:p w14:paraId="2C97919B" w14:textId="77777777" w:rsidR="00616BC9" w:rsidRDefault="00616BC9" w:rsidP="00F15DA6">
            <w:pPr>
              <w:pStyle w:val="ListNumber"/>
              <w:numPr>
                <w:ilvl w:val="0"/>
                <w:numId w:val="34"/>
              </w:numPr>
            </w:pPr>
            <w:r w:rsidRPr="00E57D63">
              <w:t xml:space="preserve">Cost of investing: </w:t>
            </w:r>
          </w:p>
          <w:p w14:paraId="2C97919C" w14:textId="77777777" w:rsidR="00616BC9" w:rsidRDefault="00616BC9" w:rsidP="00C22506">
            <w:pPr>
              <w:pStyle w:val="Question"/>
            </w:pPr>
            <w:r w:rsidRPr="00C22506">
              <w:t xml:space="preserve">What impact do you think pooling investments between funds would have on the cost of investing? </w:t>
            </w:r>
          </w:p>
          <w:p w14:paraId="2C97919D" w14:textId="77777777" w:rsidR="00D34F93" w:rsidRDefault="00012566" w:rsidP="00AA6F99">
            <w:pPr>
              <w:rPr>
                <w:color w:val="17365D" w:themeColor="text2" w:themeShade="BF"/>
                <w:lang w:val="en-US"/>
              </w:rPr>
            </w:pPr>
            <w:r>
              <w:rPr>
                <w:color w:val="17365D" w:themeColor="text2" w:themeShade="BF"/>
                <w:lang w:val="en-US"/>
              </w:rPr>
              <w:t xml:space="preserve">At £21 billion, SPF already enjoys significant benefits of scale. It is unlikely that this would improve significantly through adding further scale. SPF typically pays the lowest fee tier available to investors or a lower negotiated rate. </w:t>
            </w:r>
          </w:p>
          <w:p w14:paraId="2C97919E" w14:textId="77777777" w:rsidR="00616BC9" w:rsidRDefault="00616BC9" w:rsidP="00C22506">
            <w:pPr>
              <w:pStyle w:val="Question"/>
            </w:pPr>
            <w:r w:rsidRPr="00C22506">
              <w:t xml:space="preserve">What would be the positive impacts? </w:t>
            </w:r>
          </w:p>
          <w:p w14:paraId="2C97919F" w14:textId="77777777" w:rsidR="00663999" w:rsidRDefault="00663999" w:rsidP="00663999">
            <w:pPr>
              <w:rPr>
                <w:color w:val="17365D" w:themeColor="text2" w:themeShade="BF"/>
                <w:lang w:val="en-US"/>
              </w:rPr>
            </w:pPr>
            <w:r>
              <w:rPr>
                <w:color w:val="17365D" w:themeColor="text2" w:themeShade="BF"/>
                <w:lang w:val="en-US"/>
              </w:rPr>
              <w:t xml:space="preserve">It is unlikely that SPF would see any significant positive </w:t>
            </w:r>
            <w:r w:rsidR="00012566">
              <w:rPr>
                <w:color w:val="17365D" w:themeColor="text2" w:themeShade="BF"/>
                <w:lang w:val="en-US"/>
              </w:rPr>
              <w:t xml:space="preserve">cost </w:t>
            </w:r>
            <w:r>
              <w:rPr>
                <w:color w:val="17365D" w:themeColor="text2" w:themeShade="BF"/>
                <w:lang w:val="en-US"/>
              </w:rPr>
              <w:t>impacts from pooling investments.</w:t>
            </w:r>
          </w:p>
          <w:p w14:paraId="2C9791A0" w14:textId="77777777" w:rsidR="00616BC9" w:rsidRDefault="00616BC9" w:rsidP="00C22506">
            <w:pPr>
              <w:pStyle w:val="Question"/>
            </w:pPr>
            <w:r w:rsidRPr="00C22506">
              <w:t>What would be the negative impacts?</w:t>
            </w:r>
          </w:p>
          <w:p w14:paraId="2C9791A1" w14:textId="77777777" w:rsidR="00D151BB" w:rsidRDefault="00D151BB" w:rsidP="00663999">
            <w:pPr>
              <w:rPr>
                <w:color w:val="17365D" w:themeColor="text2" w:themeShade="BF"/>
                <w:lang w:val="en-US"/>
              </w:rPr>
            </w:pPr>
            <w:r w:rsidRPr="00D151BB">
              <w:rPr>
                <w:color w:val="17365D" w:themeColor="text2" w:themeShade="BF"/>
                <w:lang w:val="en-US"/>
              </w:rPr>
              <w:t xml:space="preserve">Reducing cost is only a positive impact if it improves net returns. Cost reduction </w:t>
            </w:r>
            <w:r w:rsidR="00733DA3">
              <w:rPr>
                <w:color w:val="17365D" w:themeColor="text2" w:themeShade="BF"/>
                <w:lang w:val="en-US"/>
              </w:rPr>
              <w:t xml:space="preserve">through pooling </w:t>
            </w:r>
            <w:r w:rsidRPr="00D151BB">
              <w:rPr>
                <w:color w:val="17365D" w:themeColor="text2" w:themeShade="BF"/>
                <w:lang w:val="en-US"/>
              </w:rPr>
              <w:t>would be a negative if it led to a restricted choice of investment options, and reduced returns or increased risk.</w:t>
            </w:r>
          </w:p>
          <w:p w14:paraId="2C9791A2" w14:textId="77777777" w:rsidR="00D151BB" w:rsidRPr="00D151BB" w:rsidRDefault="00D151BB" w:rsidP="00D151BB">
            <w:pPr>
              <w:rPr>
                <w:color w:val="17365D" w:themeColor="text2" w:themeShade="BF"/>
                <w:lang w:val="en-US"/>
              </w:rPr>
            </w:pPr>
            <w:r w:rsidRPr="00D151BB">
              <w:rPr>
                <w:color w:val="17365D" w:themeColor="text2" w:themeShade="BF"/>
                <w:lang w:val="en-US"/>
              </w:rPr>
              <w:t>Some very attractive investment opportunities, particularly in private markets, have limited availability. A larger pool may be unable to achieve its desired allocation and is unlikely to achieve cost savings as managers have no need to offer cost incentives where demand outstrips supply.</w:t>
            </w:r>
          </w:p>
          <w:p w14:paraId="2C9791A3" w14:textId="77777777" w:rsidR="00616BC9" w:rsidRDefault="00616BC9" w:rsidP="00C22506">
            <w:pPr>
              <w:pStyle w:val="Question"/>
            </w:pPr>
            <w:r w:rsidRPr="00C22506">
              <w:t>If asset pooling were possible, under what circumstances should a fund consider joining an asset pool?</w:t>
            </w:r>
          </w:p>
          <w:p w14:paraId="2C9791A4" w14:textId="77777777" w:rsidR="00D151BB" w:rsidRPr="00D151BB" w:rsidRDefault="00D151BB" w:rsidP="00D151BB">
            <w:pPr>
              <w:rPr>
                <w:color w:val="17365D" w:themeColor="text2" w:themeShade="BF"/>
                <w:lang w:val="en-US"/>
              </w:rPr>
            </w:pPr>
            <w:r>
              <w:rPr>
                <w:color w:val="17365D" w:themeColor="text2" w:themeShade="BF"/>
                <w:lang w:val="en-US"/>
              </w:rPr>
              <w:t>A fund should carry out its own cost benefit analysis of the merits of joining a</w:t>
            </w:r>
            <w:r w:rsidR="00EB0337">
              <w:rPr>
                <w:color w:val="17365D" w:themeColor="text2" w:themeShade="BF"/>
                <w:lang w:val="en-US"/>
              </w:rPr>
              <w:t>n asset</w:t>
            </w:r>
            <w:r>
              <w:rPr>
                <w:color w:val="17365D" w:themeColor="text2" w:themeShade="BF"/>
                <w:lang w:val="en-US"/>
              </w:rPr>
              <w:t xml:space="preserve"> pool</w:t>
            </w:r>
            <w:r w:rsidR="00EB0337">
              <w:rPr>
                <w:color w:val="17365D" w:themeColor="text2" w:themeShade="BF"/>
                <w:lang w:val="en-US"/>
              </w:rPr>
              <w:t xml:space="preserve">. Until a pool is established this is difficult as neither the costs nor the benefits are clear or certain.  </w:t>
            </w:r>
          </w:p>
          <w:p w14:paraId="2C9791A5" w14:textId="77777777" w:rsidR="00616BC9" w:rsidRDefault="00616BC9" w:rsidP="00C22506">
            <w:pPr>
              <w:pStyle w:val="Question"/>
            </w:pPr>
            <w:r w:rsidRPr="00C22506">
              <w:t>Under which circumstances should the SLGPS consider directing funds to pool?</w:t>
            </w:r>
          </w:p>
          <w:p w14:paraId="2C9791A6" w14:textId="77777777" w:rsidR="00046B3B" w:rsidRDefault="00EB0337" w:rsidP="00EB0337">
            <w:pPr>
              <w:rPr>
                <w:color w:val="17365D" w:themeColor="text2" w:themeShade="BF"/>
                <w:lang w:val="en-US"/>
              </w:rPr>
            </w:pPr>
            <w:r>
              <w:rPr>
                <w:color w:val="17365D" w:themeColor="text2" w:themeShade="BF"/>
                <w:lang w:val="en-US"/>
              </w:rPr>
              <w:t>Manifest failure by a fund</w:t>
            </w:r>
            <w:r w:rsidR="00733DA3">
              <w:rPr>
                <w:color w:val="17365D" w:themeColor="text2" w:themeShade="BF"/>
                <w:lang w:val="en-US"/>
              </w:rPr>
              <w:t>,</w:t>
            </w:r>
            <w:r>
              <w:rPr>
                <w:color w:val="17365D" w:themeColor="text2" w:themeShade="BF"/>
                <w:lang w:val="en-US"/>
              </w:rPr>
              <w:t xml:space="preserve"> or the Scottish LGPS funds collectively</w:t>
            </w:r>
            <w:r w:rsidR="00733DA3">
              <w:rPr>
                <w:color w:val="17365D" w:themeColor="text2" w:themeShade="BF"/>
                <w:lang w:val="en-US"/>
              </w:rPr>
              <w:t>,</w:t>
            </w:r>
            <w:r>
              <w:rPr>
                <w:color w:val="17365D" w:themeColor="text2" w:themeShade="BF"/>
                <w:lang w:val="en-US"/>
              </w:rPr>
              <w:t xml:space="preserve"> to achieve their objectives might present a basis for directing funds to pool. </w:t>
            </w:r>
          </w:p>
          <w:p w14:paraId="2C9791A7" w14:textId="77777777" w:rsidR="00616BC9" w:rsidRDefault="00616BC9" w:rsidP="00F15DA6">
            <w:pPr>
              <w:pStyle w:val="ListNumber"/>
            </w:pPr>
            <w:r w:rsidRPr="004F5BA0">
              <w:t>Governance:</w:t>
            </w:r>
            <w:r>
              <w:t xml:space="preserve"> </w:t>
            </w:r>
          </w:p>
          <w:p w14:paraId="2C9791A8" w14:textId="77777777" w:rsidR="00616BC9" w:rsidRDefault="00616BC9" w:rsidP="00C22506">
            <w:pPr>
              <w:pStyle w:val="Question"/>
            </w:pPr>
            <w:r w:rsidRPr="00C22506">
              <w:lastRenderedPageBreak/>
              <w:t xml:space="preserve">What impact do you think pooling investments between funds would have on governance? </w:t>
            </w:r>
          </w:p>
          <w:p w14:paraId="2C9791A9" w14:textId="77777777" w:rsidR="00EB0337" w:rsidRDefault="00046B3B" w:rsidP="00EB0337">
            <w:pPr>
              <w:rPr>
                <w:color w:val="17365D" w:themeColor="text2" w:themeShade="BF"/>
                <w:lang w:val="en-US"/>
              </w:rPr>
            </w:pPr>
            <w:r>
              <w:rPr>
                <w:color w:val="17365D" w:themeColor="text2" w:themeShade="BF"/>
                <w:lang w:val="en-US"/>
              </w:rPr>
              <w:t>Where pools oversee external investment managers, this represents an additional layer of governance between the fund and the manager. It i</w:t>
            </w:r>
            <w:r w:rsidR="00F3009F">
              <w:rPr>
                <w:color w:val="17365D" w:themeColor="text2" w:themeShade="BF"/>
                <w:lang w:val="en-US"/>
              </w:rPr>
              <w:t>s likely to reduce transparency and complicate governance.</w:t>
            </w:r>
          </w:p>
          <w:p w14:paraId="2C9791AA" w14:textId="77777777" w:rsidR="00046B3B" w:rsidRPr="00EB0337" w:rsidRDefault="00046B3B" w:rsidP="00EB0337">
            <w:pPr>
              <w:rPr>
                <w:color w:val="17365D" w:themeColor="text2" w:themeShade="BF"/>
                <w:lang w:val="en-US"/>
              </w:rPr>
            </w:pPr>
            <w:r>
              <w:rPr>
                <w:color w:val="17365D" w:themeColor="text2" w:themeShade="BF"/>
                <w:lang w:val="en-US"/>
              </w:rPr>
              <w:t>Where pools manage investments internally</w:t>
            </w:r>
            <w:r w:rsidR="007A4112">
              <w:rPr>
                <w:color w:val="17365D" w:themeColor="text2" w:themeShade="BF"/>
                <w:lang w:val="en-US"/>
              </w:rPr>
              <w:t>, the funds may become captive – i.e. it would be difficult to replace the internal management team if they underperformed.</w:t>
            </w:r>
            <w:r>
              <w:rPr>
                <w:color w:val="17365D" w:themeColor="text2" w:themeShade="BF"/>
                <w:lang w:val="en-US"/>
              </w:rPr>
              <w:t xml:space="preserve"> </w:t>
            </w:r>
          </w:p>
          <w:p w14:paraId="2C9791AB" w14:textId="77777777" w:rsidR="00616BC9" w:rsidRDefault="00616BC9" w:rsidP="00C22506">
            <w:pPr>
              <w:pStyle w:val="Question"/>
            </w:pPr>
            <w:r w:rsidRPr="00C22506">
              <w:t xml:space="preserve">What would be the positive impacts? </w:t>
            </w:r>
          </w:p>
          <w:p w14:paraId="2C9791AC" w14:textId="77777777" w:rsidR="007A4112" w:rsidRPr="007A4112" w:rsidRDefault="005938F7" w:rsidP="007A4112">
            <w:pPr>
              <w:rPr>
                <w:color w:val="17365D" w:themeColor="text2" w:themeShade="BF"/>
                <w:lang w:val="en-US"/>
              </w:rPr>
            </w:pPr>
            <w:r w:rsidRPr="005938F7">
              <w:rPr>
                <w:color w:val="17365D" w:themeColor="text2" w:themeShade="BF"/>
                <w:lang w:val="en-US"/>
              </w:rPr>
              <w:t xml:space="preserve">It is unlikely that SPF would see any significant positive </w:t>
            </w:r>
            <w:r>
              <w:rPr>
                <w:color w:val="17365D" w:themeColor="text2" w:themeShade="BF"/>
                <w:lang w:val="en-US"/>
              </w:rPr>
              <w:t xml:space="preserve">governance </w:t>
            </w:r>
            <w:r w:rsidRPr="005938F7">
              <w:rPr>
                <w:color w:val="17365D" w:themeColor="text2" w:themeShade="BF"/>
                <w:lang w:val="en-US"/>
              </w:rPr>
              <w:t>impacts from pooling investments.</w:t>
            </w:r>
          </w:p>
          <w:p w14:paraId="2C9791AD" w14:textId="77777777" w:rsidR="00616BC9" w:rsidRDefault="00616BC9" w:rsidP="00C22506">
            <w:pPr>
              <w:pStyle w:val="Question"/>
            </w:pPr>
            <w:r w:rsidRPr="00C22506">
              <w:t>What would be the negative impacts?</w:t>
            </w:r>
          </w:p>
          <w:p w14:paraId="2C9791AE" w14:textId="77777777" w:rsidR="005938F7" w:rsidRPr="005938F7" w:rsidRDefault="005938F7" w:rsidP="005938F7">
            <w:pPr>
              <w:rPr>
                <w:color w:val="17365D" w:themeColor="text2" w:themeShade="BF"/>
                <w:lang w:val="en-US"/>
              </w:rPr>
            </w:pPr>
            <w:r w:rsidRPr="005938F7">
              <w:rPr>
                <w:color w:val="17365D" w:themeColor="text2" w:themeShade="BF"/>
                <w:lang w:val="en-US"/>
              </w:rPr>
              <w:t xml:space="preserve">Diverting resource to establish and maintain the pools is likely to be a significant distraction </w:t>
            </w:r>
            <w:r>
              <w:rPr>
                <w:color w:val="17365D" w:themeColor="text2" w:themeShade="BF"/>
                <w:lang w:val="en-US"/>
              </w:rPr>
              <w:t>from the ongoing business of managing the funds.</w:t>
            </w:r>
          </w:p>
          <w:p w14:paraId="2C9791AF" w14:textId="77777777" w:rsidR="00616BC9" w:rsidRDefault="00616BC9" w:rsidP="00F15DA6">
            <w:pPr>
              <w:pStyle w:val="ListNumber"/>
            </w:pPr>
            <w:r>
              <w:t>Operating risks:</w:t>
            </w:r>
          </w:p>
          <w:p w14:paraId="2C9791B0" w14:textId="77777777" w:rsidR="00616BC9" w:rsidRDefault="00616BC9" w:rsidP="00C22506">
            <w:pPr>
              <w:pStyle w:val="Question"/>
            </w:pPr>
            <w:r w:rsidRPr="00C22506">
              <w:t xml:space="preserve">What impact do you think pooling investments between funds would have on operating risks? </w:t>
            </w:r>
          </w:p>
          <w:p w14:paraId="2C9791B1" w14:textId="77777777" w:rsidR="005938F7" w:rsidRPr="005938F7" w:rsidRDefault="005938F7" w:rsidP="005938F7">
            <w:pPr>
              <w:rPr>
                <w:color w:val="17365D" w:themeColor="text2" w:themeShade="BF"/>
                <w:lang w:val="en-US"/>
              </w:rPr>
            </w:pPr>
            <w:r w:rsidRPr="005938F7">
              <w:rPr>
                <w:color w:val="17365D" w:themeColor="text2" w:themeShade="BF"/>
                <w:lang w:val="en-US"/>
              </w:rPr>
              <w:t>Where pools oversee external investment managers,</w:t>
            </w:r>
            <w:r>
              <w:rPr>
                <w:color w:val="17365D" w:themeColor="text2" w:themeShade="BF"/>
                <w:lang w:val="en-US"/>
              </w:rPr>
              <w:t xml:space="preserve"> pooling is unlikely to have any impact on operating risks</w:t>
            </w:r>
            <w:r w:rsidR="00796014">
              <w:rPr>
                <w:color w:val="17365D" w:themeColor="text2" w:themeShade="BF"/>
                <w:lang w:val="en-US"/>
              </w:rPr>
              <w:t xml:space="preserve">, as day-to day investing is carried out by the managers. </w:t>
            </w:r>
            <w:r>
              <w:rPr>
                <w:color w:val="17365D" w:themeColor="text2" w:themeShade="BF"/>
                <w:lang w:val="en-US"/>
              </w:rPr>
              <w:t xml:space="preserve"> </w:t>
            </w:r>
          </w:p>
          <w:p w14:paraId="2C9791B2" w14:textId="77777777" w:rsidR="005938F7" w:rsidRPr="005938F7" w:rsidRDefault="005938F7" w:rsidP="005938F7">
            <w:pPr>
              <w:rPr>
                <w:color w:val="17365D" w:themeColor="text2" w:themeShade="BF"/>
                <w:lang w:val="en-US"/>
              </w:rPr>
            </w:pPr>
            <w:r w:rsidRPr="005938F7">
              <w:rPr>
                <w:color w:val="17365D" w:themeColor="text2" w:themeShade="BF"/>
                <w:lang w:val="en-US"/>
              </w:rPr>
              <w:t>Where pools manage investments internally,</w:t>
            </w:r>
            <w:r w:rsidR="00796014">
              <w:rPr>
                <w:color w:val="17365D" w:themeColor="text2" w:themeShade="BF"/>
                <w:lang w:val="en-US"/>
              </w:rPr>
              <w:t xml:space="preserve"> they would need to develop risk-management capabilities on a par with external managers who typically have extensive compliance and risk-management resources</w:t>
            </w:r>
            <w:r w:rsidRPr="005938F7">
              <w:rPr>
                <w:color w:val="17365D" w:themeColor="text2" w:themeShade="BF"/>
                <w:lang w:val="en-US"/>
              </w:rPr>
              <w:t>.</w:t>
            </w:r>
          </w:p>
          <w:p w14:paraId="2C9791B3" w14:textId="77777777" w:rsidR="00616BC9" w:rsidRDefault="00616BC9" w:rsidP="00C22506">
            <w:pPr>
              <w:pStyle w:val="Question"/>
            </w:pPr>
            <w:r w:rsidRPr="00C22506">
              <w:t xml:space="preserve">What would be the positive impacts? </w:t>
            </w:r>
          </w:p>
          <w:p w14:paraId="2C9791B4" w14:textId="77777777" w:rsidR="00796014" w:rsidRPr="00796014" w:rsidRDefault="00796014" w:rsidP="00796014">
            <w:pPr>
              <w:rPr>
                <w:color w:val="17365D" w:themeColor="text2" w:themeShade="BF"/>
                <w:lang w:val="en-US"/>
              </w:rPr>
            </w:pPr>
            <w:r w:rsidRPr="00796014">
              <w:rPr>
                <w:color w:val="17365D" w:themeColor="text2" w:themeShade="BF"/>
                <w:lang w:val="en-US"/>
              </w:rPr>
              <w:t xml:space="preserve">It is unlikely that SPF would see any significant positive impacts </w:t>
            </w:r>
            <w:r w:rsidR="00EB1E01">
              <w:rPr>
                <w:color w:val="17365D" w:themeColor="text2" w:themeShade="BF"/>
                <w:lang w:val="en-US"/>
              </w:rPr>
              <w:t xml:space="preserve">on operating risk </w:t>
            </w:r>
            <w:r w:rsidRPr="00796014">
              <w:rPr>
                <w:color w:val="17365D" w:themeColor="text2" w:themeShade="BF"/>
                <w:lang w:val="en-US"/>
              </w:rPr>
              <w:t>from pooling investments.</w:t>
            </w:r>
            <w:r>
              <w:rPr>
                <w:color w:val="17365D" w:themeColor="text2" w:themeShade="BF"/>
                <w:lang w:val="en-US"/>
              </w:rPr>
              <w:t xml:space="preserve"> </w:t>
            </w:r>
          </w:p>
          <w:p w14:paraId="2C9791B5" w14:textId="77777777" w:rsidR="00616BC9" w:rsidRDefault="00616BC9" w:rsidP="00C22506">
            <w:pPr>
              <w:pStyle w:val="Question"/>
            </w:pPr>
            <w:r w:rsidRPr="00C22506">
              <w:t>What would be the negative impacts?</w:t>
            </w:r>
          </w:p>
          <w:p w14:paraId="2C9791B6" w14:textId="77777777" w:rsidR="00796014" w:rsidRDefault="00796014" w:rsidP="00796014">
            <w:pPr>
              <w:rPr>
                <w:color w:val="17365D" w:themeColor="text2" w:themeShade="BF"/>
                <w:lang w:val="en-US"/>
              </w:rPr>
            </w:pPr>
            <w:r w:rsidRPr="00796014">
              <w:rPr>
                <w:color w:val="17365D" w:themeColor="text2" w:themeShade="BF"/>
                <w:lang w:val="en-US"/>
              </w:rPr>
              <w:t xml:space="preserve">Diverting resource to establish and maintain the pools is likely to </w:t>
            </w:r>
            <w:r w:rsidR="00F3009F">
              <w:rPr>
                <w:color w:val="17365D" w:themeColor="text2" w:themeShade="BF"/>
                <w:lang w:val="en-US"/>
              </w:rPr>
              <w:t xml:space="preserve">increase </w:t>
            </w:r>
            <w:r>
              <w:rPr>
                <w:color w:val="17365D" w:themeColor="text2" w:themeShade="BF"/>
                <w:lang w:val="en-US"/>
              </w:rPr>
              <w:t>operational risks</w:t>
            </w:r>
            <w:r w:rsidRPr="00796014">
              <w:rPr>
                <w:color w:val="17365D" w:themeColor="text2" w:themeShade="BF"/>
                <w:lang w:val="en-US"/>
              </w:rPr>
              <w:t>.</w:t>
            </w:r>
          </w:p>
          <w:p w14:paraId="2C9791B7" w14:textId="77777777" w:rsidR="00012566" w:rsidRDefault="00012566" w:rsidP="00012566">
            <w:pPr>
              <w:rPr>
                <w:color w:val="17365D" w:themeColor="text2" w:themeShade="BF"/>
                <w:lang w:val="en-US"/>
              </w:rPr>
            </w:pPr>
            <w:r w:rsidRPr="00663999">
              <w:rPr>
                <w:color w:val="17365D" w:themeColor="text2" w:themeShade="BF"/>
                <w:lang w:val="en-US"/>
              </w:rPr>
              <w:t xml:space="preserve">Pooling investments </w:t>
            </w:r>
            <w:r>
              <w:rPr>
                <w:color w:val="17365D" w:themeColor="text2" w:themeShade="BF"/>
                <w:lang w:val="en-US"/>
              </w:rPr>
              <w:t xml:space="preserve">is likely to involve </w:t>
            </w:r>
            <w:r w:rsidR="00F3009F">
              <w:rPr>
                <w:color w:val="17365D" w:themeColor="text2" w:themeShade="BF"/>
                <w:lang w:val="en-US"/>
              </w:rPr>
              <w:t xml:space="preserve">some </w:t>
            </w:r>
            <w:r>
              <w:rPr>
                <w:color w:val="17365D" w:themeColor="text2" w:themeShade="BF"/>
                <w:lang w:val="en-US"/>
              </w:rPr>
              <w:t>concentration of risk.</w:t>
            </w:r>
          </w:p>
          <w:p w14:paraId="2C9791B8" w14:textId="77777777" w:rsidR="00616BC9" w:rsidRPr="002541D9" w:rsidRDefault="00616BC9" w:rsidP="00F15DA6">
            <w:pPr>
              <w:pStyle w:val="ListNumber"/>
              <w:rPr>
                <w:u w:val="single"/>
              </w:rPr>
            </w:pPr>
            <w:r>
              <w:lastRenderedPageBreak/>
              <w:t xml:space="preserve">Infrastructure: </w:t>
            </w:r>
          </w:p>
          <w:p w14:paraId="2C9791B9" w14:textId="77777777" w:rsidR="00616BC9" w:rsidRDefault="00616BC9" w:rsidP="00C22506">
            <w:pPr>
              <w:pStyle w:val="Question"/>
              <w:rPr>
                <w:color w:val="17365D" w:themeColor="text2" w:themeShade="BF"/>
              </w:rPr>
            </w:pPr>
            <w:r w:rsidRPr="00C22506">
              <w:t xml:space="preserve">What impact do you think pooling investments between funds would have on funds’ ability to invest in infrastructure? </w:t>
            </w:r>
          </w:p>
          <w:p w14:paraId="2C9791BA" w14:textId="77777777" w:rsidR="00C31E54" w:rsidRDefault="00EA1A77" w:rsidP="00C31E54">
            <w:pPr>
              <w:rPr>
                <w:color w:val="17365D" w:themeColor="text2" w:themeShade="BF"/>
                <w:lang w:val="en-US"/>
              </w:rPr>
            </w:pPr>
            <w:r>
              <w:rPr>
                <w:color w:val="17365D" w:themeColor="text2" w:themeShade="BF"/>
                <w:lang w:val="en-US"/>
              </w:rPr>
              <w:t>Very little, if any.</w:t>
            </w:r>
          </w:p>
          <w:p w14:paraId="2C9791BB" w14:textId="77777777" w:rsidR="00EA1A77" w:rsidRDefault="00EA1A77" w:rsidP="00C31E54">
            <w:pPr>
              <w:rPr>
                <w:color w:val="17365D" w:themeColor="text2" w:themeShade="BF"/>
                <w:lang w:val="en-US"/>
              </w:rPr>
            </w:pPr>
            <w:r>
              <w:rPr>
                <w:color w:val="17365D" w:themeColor="text2" w:themeShade="BF"/>
                <w:lang w:val="en-US"/>
              </w:rPr>
              <w:t xml:space="preserve">Of the large Scottish Funds: SPF has made investments of over £1 billion to date in infrastructure and will continue to make new investments; Lothian has an established infrastructure programme. </w:t>
            </w:r>
          </w:p>
          <w:p w14:paraId="2C9791BC" w14:textId="77777777" w:rsidR="00EA1A77" w:rsidRDefault="00EA1A77" w:rsidP="00C31E54">
            <w:pPr>
              <w:rPr>
                <w:color w:val="17365D" w:themeColor="text2" w:themeShade="BF"/>
                <w:lang w:val="en-US"/>
              </w:rPr>
            </w:pPr>
            <w:r>
              <w:rPr>
                <w:color w:val="17365D" w:themeColor="text2" w:themeShade="BF"/>
                <w:lang w:val="en-US"/>
              </w:rPr>
              <w:t>Amongst the medium-sized funds: per the Scheme Advisory Board Annual Report for 2016/2017, Fife and Falkirk are shown as having infrastructure investments.</w:t>
            </w:r>
          </w:p>
          <w:p w14:paraId="2C9791BD" w14:textId="77777777" w:rsidR="00F3009F" w:rsidRDefault="00F3009F" w:rsidP="00C31E54">
            <w:pPr>
              <w:rPr>
                <w:color w:val="17365D" w:themeColor="text2" w:themeShade="BF"/>
                <w:lang w:val="en-US"/>
              </w:rPr>
            </w:pPr>
            <w:r>
              <w:rPr>
                <w:color w:val="17365D" w:themeColor="text2" w:themeShade="BF"/>
                <w:lang w:val="en-US"/>
              </w:rPr>
              <w:t xml:space="preserve">So, large and medium sized funds are already able to invest in infrastructure. </w:t>
            </w:r>
          </w:p>
          <w:p w14:paraId="2C9791BE" w14:textId="77777777" w:rsidR="00EA1A77" w:rsidRDefault="00904DA3" w:rsidP="00C31E54">
            <w:pPr>
              <w:rPr>
                <w:color w:val="17365D" w:themeColor="text2" w:themeShade="BF"/>
                <w:lang w:val="en-US"/>
              </w:rPr>
            </w:pPr>
            <w:r>
              <w:rPr>
                <w:color w:val="17365D" w:themeColor="text2" w:themeShade="BF"/>
                <w:lang w:val="en-US"/>
              </w:rPr>
              <w:t>T</w:t>
            </w:r>
            <w:r w:rsidR="00EA1A77">
              <w:rPr>
                <w:color w:val="17365D" w:themeColor="text2" w:themeShade="BF"/>
                <w:lang w:val="en-US"/>
              </w:rPr>
              <w:t>he smaller funds (</w:t>
            </w:r>
            <w:r>
              <w:rPr>
                <w:color w:val="17365D" w:themeColor="text2" w:themeShade="BF"/>
                <w:lang w:val="en-US"/>
              </w:rPr>
              <w:t>&lt;£1 billion)</w:t>
            </w:r>
            <w:r w:rsidR="00EA1A77">
              <w:rPr>
                <w:color w:val="17365D" w:themeColor="text2" w:themeShade="BF"/>
                <w:lang w:val="en-US"/>
              </w:rPr>
              <w:t xml:space="preserve"> </w:t>
            </w:r>
            <w:r>
              <w:rPr>
                <w:color w:val="17365D" w:themeColor="text2" w:themeShade="BF"/>
                <w:lang w:val="en-US"/>
              </w:rPr>
              <w:t xml:space="preserve">do not appear to have made any infrastructure investments. It may be that they lack the resource to do so, </w:t>
            </w:r>
            <w:r w:rsidR="00C60977">
              <w:rPr>
                <w:color w:val="17365D" w:themeColor="text2" w:themeShade="BF"/>
                <w:lang w:val="en-US"/>
              </w:rPr>
              <w:t>though with consultant support it is not clear why this would be the case. P</w:t>
            </w:r>
            <w:r>
              <w:rPr>
                <w:color w:val="17365D" w:themeColor="text2" w:themeShade="BF"/>
                <w:lang w:val="en-US"/>
              </w:rPr>
              <w:t xml:space="preserve">ooling investments </w:t>
            </w:r>
            <w:r w:rsidR="00C60977">
              <w:rPr>
                <w:color w:val="17365D" w:themeColor="text2" w:themeShade="BF"/>
                <w:lang w:val="en-US"/>
              </w:rPr>
              <w:t>might</w:t>
            </w:r>
            <w:r>
              <w:rPr>
                <w:color w:val="17365D" w:themeColor="text2" w:themeShade="BF"/>
                <w:lang w:val="en-US"/>
              </w:rPr>
              <w:t xml:space="preserve"> facilitate infrastructure investment by the</w:t>
            </w:r>
            <w:r w:rsidR="00C60977">
              <w:rPr>
                <w:color w:val="17365D" w:themeColor="text2" w:themeShade="BF"/>
                <w:lang w:val="en-US"/>
              </w:rPr>
              <w:t>se funds, b</w:t>
            </w:r>
            <w:r>
              <w:rPr>
                <w:color w:val="17365D" w:themeColor="text2" w:themeShade="BF"/>
                <w:lang w:val="en-US"/>
              </w:rPr>
              <w:t xml:space="preserve">ut their total assets are £2.3 billion of the £43 billion total scheme assets, so this would not materially change the total investment in infrastructure.  </w:t>
            </w:r>
            <w:r w:rsidR="00EA1A77">
              <w:rPr>
                <w:color w:val="17365D" w:themeColor="text2" w:themeShade="BF"/>
                <w:lang w:val="en-US"/>
              </w:rPr>
              <w:t xml:space="preserve">   </w:t>
            </w:r>
          </w:p>
          <w:p w14:paraId="2C9791BF" w14:textId="77777777" w:rsidR="00616BC9" w:rsidRDefault="00616BC9" w:rsidP="00C22506">
            <w:pPr>
              <w:pStyle w:val="Question"/>
            </w:pPr>
            <w:r w:rsidRPr="00C22506">
              <w:t xml:space="preserve">What would be the positive impacts? </w:t>
            </w:r>
          </w:p>
          <w:p w14:paraId="2C9791C0" w14:textId="77777777" w:rsidR="00F3009F" w:rsidRDefault="00F3009F" w:rsidP="00904DA3">
            <w:pPr>
              <w:rPr>
                <w:color w:val="17365D" w:themeColor="text2" w:themeShade="BF"/>
                <w:lang w:val="en-US"/>
              </w:rPr>
            </w:pPr>
            <w:r w:rsidRPr="00F3009F">
              <w:rPr>
                <w:color w:val="17365D" w:themeColor="text2" w:themeShade="BF"/>
                <w:lang w:val="en-US"/>
              </w:rPr>
              <w:t>Infrastructure investment typically does operate on a pooled basis – with investors pooling resources, usually through a limited partnership structure to increase their buying power and share risk. This is the model for all of SPF’s existing infrastructure investments, including the Pensions Infrastructure Platform (PIP), which was created by a group pf UK pension funds, including SPF, to invest in UK infrastructure.</w:t>
            </w:r>
          </w:p>
          <w:p w14:paraId="2C9791C1" w14:textId="77777777" w:rsidR="00904DA3" w:rsidRDefault="00EB1E01" w:rsidP="00904DA3">
            <w:pPr>
              <w:rPr>
                <w:color w:val="17365D" w:themeColor="text2" w:themeShade="BF"/>
                <w:lang w:val="en-US"/>
              </w:rPr>
            </w:pPr>
            <w:r>
              <w:rPr>
                <w:color w:val="17365D" w:themeColor="text2" w:themeShade="BF"/>
                <w:lang w:val="en-US"/>
              </w:rPr>
              <w:t xml:space="preserve">A combined initiative by the Scottish funds to invest in infrastructure </w:t>
            </w:r>
            <w:r w:rsidR="008E4177">
              <w:rPr>
                <w:color w:val="17365D" w:themeColor="text2" w:themeShade="BF"/>
                <w:lang w:val="en-US"/>
              </w:rPr>
              <w:t xml:space="preserve">could have some merit. </w:t>
            </w:r>
          </w:p>
          <w:p w14:paraId="2C9791C2" w14:textId="77777777" w:rsidR="008E4177" w:rsidRDefault="008E4177" w:rsidP="008E4177">
            <w:pPr>
              <w:rPr>
                <w:color w:val="17365D" w:themeColor="text2" w:themeShade="BF"/>
              </w:rPr>
            </w:pPr>
            <w:r>
              <w:rPr>
                <w:color w:val="17365D" w:themeColor="text2" w:themeShade="BF"/>
              </w:rPr>
              <w:t xml:space="preserve">The recent report by the Scottish Futures Trust (SFT) on </w:t>
            </w:r>
            <w:r w:rsidRPr="008E4177">
              <w:rPr>
                <w:i/>
                <w:color w:val="17365D" w:themeColor="text2" w:themeShade="BF"/>
              </w:rPr>
              <w:t>Scottish Real Asset Investments and the Local Government Pension Scheme</w:t>
            </w:r>
            <w:r>
              <w:rPr>
                <w:color w:val="17365D" w:themeColor="text2" w:themeShade="BF"/>
              </w:rPr>
              <w:t xml:space="preserve"> identifies an area of i</w:t>
            </w:r>
            <w:r w:rsidRPr="008E4177">
              <w:rPr>
                <w:color w:val="17365D" w:themeColor="text2" w:themeShade="BF"/>
              </w:rPr>
              <w:t xml:space="preserve">nvestment that </w:t>
            </w:r>
            <w:r>
              <w:rPr>
                <w:color w:val="17365D" w:themeColor="text2" w:themeShade="BF"/>
              </w:rPr>
              <w:t>“</w:t>
            </w:r>
            <w:r w:rsidRPr="008E4177">
              <w:rPr>
                <w:color w:val="17365D" w:themeColor="text2" w:themeShade="BF"/>
              </w:rPr>
              <w:t>enables LGPS to meet their fiduciary duties with good risk adjusted</w:t>
            </w:r>
            <w:r>
              <w:rPr>
                <w:color w:val="17365D" w:themeColor="text2" w:themeShade="BF"/>
              </w:rPr>
              <w:t xml:space="preserve"> </w:t>
            </w:r>
            <w:r w:rsidRPr="008E4177">
              <w:rPr>
                <w:color w:val="17365D" w:themeColor="text2" w:themeShade="BF"/>
              </w:rPr>
              <w:t>returns that are not highly competed by other investors: as those investments are not</w:t>
            </w:r>
            <w:r>
              <w:rPr>
                <w:color w:val="17365D" w:themeColor="text2" w:themeShade="BF"/>
              </w:rPr>
              <w:t xml:space="preserve"> </w:t>
            </w:r>
            <w:r w:rsidRPr="008E4177">
              <w:rPr>
                <w:color w:val="17365D" w:themeColor="text2" w:themeShade="BF"/>
              </w:rPr>
              <w:t>highly competed for by other investors, investment in them will provide a level of</w:t>
            </w:r>
            <w:r>
              <w:rPr>
                <w:color w:val="17365D" w:themeColor="text2" w:themeShade="BF"/>
              </w:rPr>
              <w:t xml:space="preserve"> </w:t>
            </w:r>
            <w:r w:rsidRPr="008E4177">
              <w:rPr>
                <w:color w:val="17365D" w:themeColor="text2" w:themeShade="BF"/>
              </w:rPr>
              <w:t>additionality to the Scottish real asset stock, and where they relate to new developments,</w:t>
            </w:r>
            <w:r>
              <w:rPr>
                <w:color w:val="17365D" w:themeColor="text2" w:themeShade="BF"/>
              </w:rPr>
              <w:t xml:space="preserve"> </w:t>
            </w:r>
            <w:r w:rsidRPr="008E4177">
              <w:rPr>
                <w:color w:val="17365D" w:themeColor="text2" w:themeShade="BF"/>
              </w:rPr>
              <w:t>they will provide additional Scottish capital stock.</w:t>
            </w:r>
            <w:r>
              <w:rPr>
                <w:color w:val="17365D" w:themeColor="text2" w:themeShade="BF"/>
              </w:rPr>
              <w:t xml:space="preserve">” </w:t>
            </w:r>
          </w:p>
          <w:p w14:paraId="2C9791C3" w14:textId="77777777" w:rsidR="008E4177" w:rsidRDefault="008E4177" w:rsidP="008E4177">
            <w:pPr>
              <w:rPr>
                <w:color w:val="17365D" w:themeColor="text2" w:themeShade="BF"/>
              </w:rPr>
            </w:pPr>
            <w:r>
              <w:rPr>
                <w:color w:val="17365D" w:themeColor="text2" w:themeShade="BF"/>
              </w:rPr>
              <w:t>It should be stressed, though that:</w:t>
            </w:r>
          </w:p>
          <w:p w14:paraId="2C9791C4" w14:textId="77777777" w:rsidR="008E4177" w:rsidRPr="00E94AF9" w:rsidRDefault="00F3009F" w:rsidP="00E94AF9">
            <w:pPr>
              <w:pStyle w:val="ListParagraph"/>
              <w:numPr>
                <w:ilvl w:val="0"/>
                <w:numId w:val="27"/>
              </w:numPr>
              <w:rPr>
                <w:color w:val="17365D" w:themeColor="text2" w:themeShade="BF"/>
              </w:rPr>
            </w:pPr>
            <w:r>
              <w:rPr>
                <w:color w:val="17365D" w:themeColor="text2" w:themeShade="BF"/>
              </w:rPr>
              <w:lastRenderedPageBreak/>
              <w:t>t</w:t>
            </w:r>
            <w:r w:rsidR="008E4177" w:rsidRPr="00E94AF9">
              <w:rPr>
                <w:color w:val="17365D" w:themeColor="text2" w:themeShade="BF"/>
              </w:rPr>
              <w:t>he positive impacts identified by SFT are not related to the objectives of the LGPS and its funds; and</w:t>
            </w:r>
          </w:p>
          <w:p w14:paraId="2C9791C5" w14:textId="77777777" w:rsidR="00E94AF9" w:rsidRPr="00F3009F" w:rsidRDefault="00F3009F" w:rsidP="008E4177">
            <w:pPr>
              <w:pStyle w:val="ListParagraph"/>
              <w:numPr>
                <w:ilvl w:val="0"/>
                <w:numId w:val="27"/>
              </w:numPr>
              <w:rPr>
                <w:color w:val="17365D" w:themeColor="text2" w:themeShade="BF"/>
              </w:rPr>
            </w:pPr>
            <w:r w:rsidRPr="00F3009F">
              <w:rPr>
                <w:color w:val="17365D" w:themeColor="text2" w:themeShade="BF"/>
              </w:rPr>
              <w:t>i</w:t>
            </w:r>
            <w:r w:rsidR="008E4177" w:rsidRPr="00F3009F">
              <w:rPr>
                <w:color w:val="17365D" w:themeColor="text2" w:themeShade="BF"/>
              </w:rPr>
              <w:t xml:space="preserve">t would not be necessary to pool funds </w:t>
            </w:r>
            <w:r>
              <w:rPr>
                <w:color w:val="17365D" w:themeColor="text2" w:themeShade="BF"/>
              </w:rPr>
              <w:t xml:space="preserve">in their entirety </w:t>
            </w:r>
            <w:r w:rsidR="008E4177" w:rsidRPr="00F3009F">
              <w:rPr>
                <w:color w:val="17365D" w:themeColor="text2" w:themeShade="BF"/>
              </w:rPr>
              <w:t xml:space="preserve">to facilitate investment in infrastructure. The creation of a pooled investment vehicle in which funds </w:t>
            </w:r>
            <w:r w:rsidR="00DB7413" w:rsidRPr="00F3009F">
              <w:rPr>
                <w:color w:val="17365D" w:themeColor="text2" w:themeShade="BF"/>
              </w:rPr>
              <w:t>could invest would achieve this</w:t>
            </w:r>
            <w:r w:rsidR="008E4177" w:rsidRPr="00F3009F">
              <w:rPr>
                <w:color w:val="17365D" w:themeColor="text2" w:themeShade="BF"/>
              </w:rPr>
              <w:t xml:space="preserve"> if the vehicle was sufficiently attractive on a risk/retu</w:t>
            </w:r>
            <w:r w:rsidR="00DB7413" w:rsidRPr="00F3009F">
              <w:rPr>
                <w:color w:val="17365D" w:themeColor="text2" w:themeShade="BF"/>
              </w:rPr>
              <w:t>r</w:t>
            </w:r>
            <w:r w:rsidR="008E4177" w:rsidRPr="00F3009F">
              <w:rPr>
                <w:color w:val="17365D" w:themeColor="text2" w:themeShade="BF"/>
              </w:rPr>
              <w:t xml:space="preserve">n assessment. </w:t>
            </w:r>
          </w:p>
          <w:p w14:paraId="2C9791C6" w14:textId="77777777" w:rsidR="00616BC9" w:rsidRDefault="00616BC9" w:rsidP="00C22506">
            <w:pPr>
              <w:pStyle w:val="Question"/>
            </w:pPr>
            <w:r w:rsidRPr="00C22506">
              <w:t>What would be the negative impacts?</w:t>
            </w:r>
          </w:p>
          <w:p w14:paraId="2C9791C7" w14:textId="77777777" w:rsidR="003E6CBB" w:rsidRDefault="003E6CBB" w:rsidP="00DB7413">
            <w:pPr>
              <w:rPr>
                <w:color w:val="17365D" w:themeColor="text2" w:themeShade="BF"/>
                <w:lang w:val="en-US"/>
              </w:rPr>
            </w:pPr>
            <w:r>
              <w:rPr>
                <w:color w:val="17365D" w:themeColor="text2" w:themeShade="BF"/>
                <w:lang w:val="en-US"/>
              </w:rPr>
              <w:t>The consultation paper acknowledges that: “</w:t>
            </w:r>
            <w:r w:rsidRPr="003E6CBB">
              <w:rPr>
                <w:color w:val="17365D" w:themeColor="text2" w:themeShade="BF"/>
                <w:lang w:val="en-US"/>
              </w:rPr>
              <w:t>In the short-term, pooling would generate large initial transitional and set up costs, potentially including the requirement to seek FCA authorisation for the new asset pools.</w:t>
            </w:r>
            <w:r>
              <w:rPr>
                <w:color w:val="17365D" w:themeColor="text2" w:themeShade="BF"/>
                <w:lang w:val="en-US"/>
              </w:rPr>
              <w:t xml:space="preserve">” </w:t>
            </w:r>
          </w:p>
          <w:p w14:paraId="2C9791C8" w14:textId="77777777" w:rsidR="00DB7413" w:rsidRPr="00DB7413" w:rsidRDefault="003E6CBB" w:rsidP="00DB7413">
            <w:pPr>
              <w:rPr>
                <w:color w:val="17365D" w:themeColor="text2" w:themeShade="BF"/>
                <w:lang w:val="en-US"/>
              </w:rPr>
            </w:pPr>
            <w:r>
              <w:rPr>
                <w:color w:val="17365D" w:themeColor="text2" w:themeShade="BF"/>
                <w:lang w:val="en-US"/>
              </w:rPr>
              <w:t xml:space="preserve">Pooling the funds simply to achieve more investment in infrastructure, which is not a primary pension fund objective, would be </w:t>
            </w:r>
            <w:r w:rsidR="00F3009F">
              <w:rPr>
                <w:color w:val="17365D" w:themeColor="text2" w:themeShade="BF"/>
                <w:lang w:val="en-US"/>
              </w:rPr>
              <w:t xml:space="preserve">a </w:t>
            </w:r>
            <w:r>
              <w:rPr>
                <w:color w:val="17365D" w:themeColor="text2" w:themeShade="BF"/>
                <w:lang w:val="en-US"/>
              </w:rPr>
              <w:t>perverse</w:t>
            </w:r>
            <w:r w:rsidR="00F3009F">
              <w:rPr>
                <w:color w:val="17365D" w:themeColor="text2" w:themeShade="BF"/>
                <w:lang w:val="en-US"/>
              </w:rPr>
              <w:t xml:space="preserve"> decision</w:t>
            </w:r>
            <w:r w:rsidR="00733DA3">
              <w:rPr>
                <w:color w:val="17365D" w:themeColor="text2" w:themeShade="BF"/>
                <w:lang w:val="en-US"/>
              </w:rPr>
              <w:t xml:space="preserve"> in this context</w:t>
            </w:r>
            <w:r>
              <w:rPr>
                <w:color w:val="17365D" w:themeColor="text2" w:themeShade="BF"/>
                <w:lang w:val="en-US"/>
              </w:rPr>
              <w:t xml:space="preserve">.  </w:t>
            </w:r>
          </w:p>
          <w:p w14:paraId="2C9791C9" w14:textId="77777777" w:rsidR="00616BC9" w:rsidRDefault="00616BC9" w:rsidP="00F15DA6">
            <w:pPr>
              <w:pStyle w:val="ListNumber"/>
            </w:pPr>
            <w:r>
              <w:t>Do you have any additional comments about this option?</w:t>
            </w:r>
          </w:p>
          <w:p w14:paraId="2C9791CA" w14:textId="77777777" w:rsidR="00A6024E" w:rsidRPr="00F15DA6" w:rsidRDefault="00A6024E" w:rsidP="00F15DA6">
            <w:pPr>
              <w:rPr>
                <w:color w:val="17365D" w:themeColor="text2" w:themeShade="BF"/>
              </w:rPr>
            </w:pPr>
            <w:r w:rsidRPr="00F15DA6">
              <w:rPr>
                <w:color w:val="17365D" w:themeColor="text2" w:themeShade="BF"/>
              </w:rPr>
              <w:t>This option is clearly topical given the wholesale, directed and enforced pooling exercise which is currently underway in England &amp; Wales.</w:t>
            </w:r>
          </w:p>
          <w:p w14:paraId="2C9791CB" w14:textId="77777777" w:rsidR="008B7C03" w:rsidRDefault="00A6024E" w:rsidP="00F15DA6">
            <w:pPr>
              <w:rPr>
                <w:color w:val="17365D" w:themeColor="text2" w:themeShade="BF"/>
              </w:rPr>
            </w:pPr>
            <w:r w:rsidRPr="00F15DA6">
              <w:rPr>
                <w:color w:val="17365D" w:themeColor="text2" w:themeShade="BF"/>
              </w:rPr>
              <w:t xml:space="preserve">It is much too early to judge the success of that exercise but it is apparent that </w:t>
            </w:r>
            <w:r w:rsidR="008B7C03" w:rsidRPr="00F15DA6">
              <w:rPr>
                <w:color w:val="17365D" w:themeColor="text2" w:themeShade="BF"/>
              </w:rPr>
              <w:t>it is costly and time-consuming; that very different approaches are being adopted by the different pool</w:t>
            </w:r>
            <w:r w:rsidR="00733DA3" w:rsidRPr="00F15DA6">
              <w:rPr>
                <w:color w:val="17365D" w:themeColor="text2" w:themeShade="BF"/>
              </w:rPr>
              <w:t>s</w:t>
            </w:r>
            <w:r w:rsidR="008B7C03" w:rsidRPr="00F15DA6">
              <w:rPr>
                <w:color w:val="17365D" w:themeColor="text2" w:themeShade="BF"/>
              </w:rPr>
              <w:t xml:space="preserve">; and that it is creating resource gaps as staff transfer away from administering authorities. </w:t>
            </w:r>
          </w:p>
          <w:p w14:paraId="74C1FC9F" w14:textId="61761657" w:rsidR="006E0903" w:rsidRPr="00F15DA6" w:rsidRDefault="006E0903" w:rsidP="00F15DA6">
            <w:pPr>
              <w:rPr>
                <w:color w:val="17365D" w:themeColor="text2" w:themeShade="BF"/>
              </w:rPr>
            </w:pPr>
            <w:r>
              <w:rPr>
                <w:color w:val="17365D" w:themeColor="text2" w:themeShade="BF"/>
              </w:rPr>
              <w:t xml:space="preserve">The payback period for costs incurred is likely to span many years  and it is also likely to be some time until the pools settle fully into their new structures. </w:t>
            </w:r>
          </w:p>
          <w:p w14:paraId="2C9791CC" w14:textId="77777777" w:rsidR="00616BC9" w:rsidRPr="00F15DA6" w:rsidRDefault="008B7C03" w:rsidP="00F15DA6">
            <w:r w:rsidRPr="00F15DA6">
              <w:rPr>
                <w:color w:val="17365D" w:themeColor="text2" w:themeShade="BF"/>
              </w:rPr>
              <w:t xml:space="preserve">SPF would not support this approach in Scotland, but there might be some merit in more selective pooling, on a voluntary basis either of individual asset classes or by specific groups of funds.  </w:t>
            </w:r>
          </w:p>
        </w:tc>
      </w:tr>
    </w:tbl>
    <w:p w14:paraId="2C9791CE" w14:textId="77777777" w:rsidR="00616BC9" w:rsidRDefault="00616BC9" w:rsidP="00513272">
      <w:pPr>
        <w:jc w:val="right"/>
      </w:pPr>
    </w:p>
    <w:p w14:paraId="2C9791CF"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2C9791D2" w14:textId="77777777" w:rsidTr="00F3009F">
        <w:tc>
          <w:tcPr>
            <w:tcW w:w="9180" w:type="dxa"/>
            <w:tcBorders>
              <w:top w:val="nil"/>
              <w:left w:val="nil"/>
              <w:right w:val="nil"/>
            </w:tcBorders>
          </w:tcPr>
          <w:p w14:paraId="2C9791D0" w14:textId="77777777" w:rsidR="00C22506" w:rsidRDefault="00616BC9" w:rsidP="00C22506">
            <w:pPr>
              <w:pStyle w:val="Heading2"/>
              <w:outlineLvl w:val="1"/>
            </w:pPr>
            <w:r>
              <w:lastRenderedPageBreak/>
              <w:t xml:space="preserve">Question 4: </w:t>
            </w:r>
            <w:r w:rsidRPr="00616BC9">
              <w:t>Merge the funds into one or more new funds</w:t>
            </w:r>
          </w:p>
          <w:p w14:paraId="2C9791D1" w14:textId="77777777" w:rsidR="00616BC9" w:rsidRDefault="00616BC9" w:rsidP="00F3009F">
            <w:r>
              <w:t>The text can wrap onto additional pages</w:t>
            </w:r>
            <w:r w:rsidR="00CB2A52">
              <w:t>.</w:t>
            </w:r>
          </w:p>
        </w:tc>
      </w:tr>
      <w:tr w:rsidR="00616BC9" w14:paraId="2C9791FA" w14:textId="77777777" w:rsidTr="00F3009F">
        <w:tc>
          <w:tcPr>
            <w:tcW w:w="9180" w:type="dxa"/>
          </w:tcPr>
          <w:p w14:paraId="2C9791D3" w14:textId="77777777" w:rsidR="00616BC9" w:rsidRPr="00C22506" w:rsidRDefault="00616BC9" w:rsidP="00F15DA6">
            <w:pPr>
              <w:pStyle w:val="ListNumber"/>
              <w:numPr>
                <w:ilvl w:val="0"/>
                <w:numId w:val="35"/>
              </w:numPr>
            </w:pPr>
            <w:r w:rsidRPr="00C22506">
              <w:t xml:space="preserve">Cost of investing: </w:t>
            </w:r>
          </w:p>
          <w:p w14:paraId="2C9791D4" w14:textId="77777777" w:rsidR="00616BC9" w:rsidRDefault="00616BC9" w:rsidP="00C22506">
            <w:pPr>
              <w:pStyle w:val="Question"/>
              <w:rPr>
                <w:color w:val="4A442A" w:themeColor="background2" w:themeShade="40"/>
              </w:rPr>
            </w:pPr>
            <w:r w:rsidRPr="00C22506">
              <w:t>What impact do you think mergers between funds would have on the cost of investing</w:t>
            </w:r>
            <w:r w:rsidR="00C22506" w:rsidRPr="00C22506">
              <w:t>?</w:t>
            </w:r>
          </w:p>
          <w:p w14:paraId="2C9791D5" w14:textId="77777777" w:rsidR="00E94AF9" w:rsidRPr="00354862" w:rsidRDefault="00354862" w:rsidP="00E94AF9">
            <w:pPr>
              <w:rPr>
                <w:color w:val="17365D" w:themeColor="text2" w:themeShade="BF"/>
                <w:lang w:val="en-US"/>
              </w:rPr>
            </w:pPr>
            <w:r>
              <w:rPr>
                <w:color w:val="17365D" w:themeColor="text2" w:themeShade="BF"/>
                <w:lang w:val="en-US"/>
              </w:rPr>
              <w:t>Answer as for pooling at 3.a, above.</w:t>
            </w:r>
          </w:p>
          <w:p w14:paraId="2C9791D6" w14:textId="77777777" w:rsidR="00616BC9" w:rsidRDefault="00616BC9" w:rsidP="00C22506">
            <w:pPr>
              <w:pStyle w:val="Question"/>
            </w:pPr>
            <w:r w:rsidRPr="00C22506">
              <w:t xml:space="preserve">What would be the positive impacts? </w:t>
            </w:r>
          </w:p>
          <w:p w14:paraId="2C9791D7" w14:textId="77777777" w:rsidR="00354862" w:rsidRPr="00354862" w:rsidRDefault="00354862" w:rsidP="00354862">
            <w:pPr>
              <w:rPr>
                <w:color w:val="17365D" w:themeColor="text2" w:themeShade="BF"/>
                <w:lang w:val="en-US"/>
              </w:rPr>
            </w:pPr>
            <w:r w:rsidRPr="00354862">
              <w:rPr>
                <w:color w:val="17365D" w:themeColor="text2" w:themeShade="BF"/>
                <w:lang w:val="en-US"/>
              </w:rPr>
              <w:t>Answer as for pooling</w:t>
            </w:r>
            <w:r w:rsidR="00F3009F">
              <w:rPr>
                <w:color w:val="17365D" w:themeColor="text2" w:themeShade="BF"/>
                <w:lang w:val="en-US"/>
              </w:rPr>
              <w:t xml:space="preserve"> at 3.a, above.</w:t>
            </w:r>
          </w:p>
          <w:p w14:paraId="2C9791D8" w14:textId="77777777" w:rsidR="00616BC9" w:rsidRDefault="00616BC9" w:rsidP="00C22506">
            <w:pPr>
              <w:pStyle w:val="Question"/>
            </w:pPr>
            <w:r w:rsidRPr="00C22506">
              <w:t>What would be the negative impacts?</w:t>
            </w:r>
          </w:p>
          <w:p w14:paraId="2C9791D9" w14:textId="77777777" w:rsidR="00012566" w:rsidRDefault="00012566" w:rsidP="00E94AF9">
            <w:pPr>
              <w:rPr>
                <w:color w:val="17365D" w:themeColor="text2" w:themeShade="BF"/>
                <w:lang w:val="en-US"/>
              </w:rPr>
            </w:pPr>
            <w:r w:rsidRPr="00012566">
              <w:rPr>
                <w:color w:val="17365D" w:themeColor="text2" w:themeShade="BF"/>
                <w:lang w:val="en-US"/>
              </w:rPr>
              <w:t>Answer as for pooling at 3.a, above</w:t>
            </w:r>
            <w:r w:rsidR="00F3009F">
              <w:rPr>
                <w:color w:val="17365D" w:themeColor="text2" w:themeShade="BF"/>
                <w:lang w:val="en-US"/>
              </w:rPr>
              <w:t>, but the transitional costs would be much greater</w:t>
            </w:r>
            <w:r w:rsidRPr="00012566">
              <w:rPr>
                <w:color w:val="17365D" w:themeColor="text2" w:themeShade="BF"/>
                <w:lang w:val="en-US"/>
              </w:rPr>
              <w:t>.</w:t>
            </w:r>
          </w:p>
          <w:p w14:paraId="2C9791DA" w14:textId="77777777"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14:paraId="2C9791DB" w14:textId="77777777" w:rsidR="00012566" w:rsidRPr="00D151BB" w:rsidRDefault="00012566" w:rsidP="00012566">
            <w:pPr>
              <w:rPr>
                <w:color w:val="17365D" w:themeColor="text2" w:themeShade="BF"/>
                <w:lang w:val="en-US"/>
              </w:rPr>
            </w:pPr>
            <w:r w:rsidRPr="00012566">
              <w:rPr>
                <w:color w:val="17365D" w:themeColor="text2" w:themeShade="BF"/>
                <w:lang w:val="en-US"/>
              </w:rPr>
              <w:t xml:space="preserve">Clearly, this would need to be given mutual consideration by at least 2 funds. </w:t>
            </w:r>
            <w:r>
              <w:rPr>
                <w:color w:val="17365D" w:themeColor="text2" w:themeShade="BF"/>
                <w:lang w:val="en-US"/>
              </w:rPr>
              <w:t xml:space="preserve">Each would need to carry out its own cost benefit analysis of the merits of merging. </w:t>
            </w:r>
            <w:r w:rsidR="007E6A4F">
              <w:rPr>
                <w:color w:val="17365D" w:themeColor="text2" w:themeShade="BF"/>
                <w:lang w:val="en-US"/>
              </w:rPr>
              <w:t xml:space="preserve"> A merger should only proceed if it was mutually beneficial. </w:t>
            </w:r>
          </w:p>
          <w:p w14:paraId="2C9791DC" w14:textId="77777777" w:rsidR="00616BC9" w:rsidRDefault="00616BC9" w:rsidP="00C22506">
            <w:pPr>
              <w:pStyle w:val="Question"/>
            </w:pPr>
            <w:r w:rsidRPr="00C22506">
              <w:t>Under what circumstances should the SLGPS consider directing funds to merge?</w:t>
            </w:r>
          </w:p>
          <w:p w14:paraId="2C9791DD" w14:textId="77777777" w:rsidR="007E6A4F" w:rsidRPr="007E6A4F" w:rsidRDefault="007E6A4F" w:rsidP="007E6A4F">
            <w:pPr>
              <w:rPr>
                <w:color w:val="17365D" w:themeColor="text2" w:themeShade="BF"/>
                <w:lang w:val="en-US"/>
              </w:rPr>
            </w:pPr>
            <w:r w:rsidRPr="007E6A4F">
              <w:rPr>
                <w:color w:val="17365D" w:themeColor="text2" w:themeShade="BF"/>
                <w:lang w:val="en-US"/>
              </w:rPr>
              <w:t>Answer as for pooling at 3.a, above.</w:t>
            </w:r>
          </w:p>
          <w:p w14:paraId="2C9791DE" w14:textId="77777777" w:rsidR="00616BC9" w:rsidRDefault="00616BC9" w:rsidP="00F15DA6">
            <w:pPr>
              <w:pStyle w:val="ListNumber"/>
            </w:pPr>
            <w:r>
              <w:t xml:space="preserve">Governance: </w:t>
            </w:r>
          </w:p>
          <w:p w14:paraId="2C9791DF" w14:textId="77777777" w:rsidR="00616BC9" w:rsidRDefault="00616BC9" w:rsidP="00C22506">
            <w:pPr>
              <w:pStyle w:val="Question"/>
            </w:pPr>
            <w:r w:rsidRPr="00C22506">
              <w:t xml:space="preserve">What impact do you think mergers between funds would have on governance? </w:t>
            </w:r>
          </w:p>
          <w:p w14:paraId="2C9791E0" w14:textId="77777777" w:rsidR="007E6A4F" w:rsidRPr="007E6A4F" w:rsidRDefault="007E6A4F" w:rsidP="007E6A4F">
            <w:pPr>
              <w:rPr>
                <w:color w:val="17365D" w:themeColor="text2" w:themeShade="BF"/>
                <w:lang w:val="en-US"/>
              </w:rPr>
            </w:pPr>
            <w:r>
              <w:rPr>
                <w:color w:val="17365D" w:themeColor="text2" w:themeShade="BF"/>
                <w:lang w:val="en-US"/>
              </w:rPr>
              <w:t xml:space="preserve">Merger would inevitably reduce or remove local involvement in pension fund governance. The degree of this would depend on the model and extent of the merger. </w:t>
            </w:r>
          </w:p>
          <w:p w14:paraId="2C9791E1" w14:textId="77777777" w:rsidR="00616BC9" w:rsidRDefault="00616BC9" w:rsidP="00C22506">
            <w:pPr>
              <w:pStyle w:val="Question"/>
            </w:pPr>
            <w:r w:rsidRPr="00C22506">
              <w:t xml:space="preserve">What would be the positive impacts? </w:t>
            </w:r>
          </w:p>
          <w:p w14:paraId="2C9791E2" w14:textId="77777777" w:rsidR="007E6A4F" w:rsidRPr="007E6A4F" w:rsidRDefault="001F45C1" w:rsidP="007E6A4F">
            <w:pPr>
              <w:rPr>
                <w:color w:val="17365D" w:themeColor="text2" w:themeShade="BF"/>
                <w:lang w:val="en-US"/>
              </w:rPr>
            </w:pPr>
            <w:r>
              <w:rPr>
                <w:color w:val="17365D" w:themeColor="text2" w:themeShade="BF"/>
                <w:lang w:val="en-US"/>
              </w:rPr>
              <w:t>A merged model would require less governance resource than individual governance models, but this is only truly a positive if the merged model is more effective.</w:t>
            </w:r>
          </w:p>
          <w:p w14:paraId="2C9791E3" w14:textId="77777777" w:rsidR="00616BC9" w:rsidRDefault="00616BC9" w:rsidP="00C22506">
            <w:pPr>
              <w:pStyle w:val="Question"/>
            </w:pPr>
            <w:r w:rsidRPr="00C22506">
              <w:t>What would be the negative impacts?</w:t>
            </w:r>
          </w:p>
          <w:p w14:paraId="2C9791E4" w14:textId="77777777" w:rsidR="001F45C1" w:rsidRPr="001F45C1" w:rsidRDefault="001F45C1" w:rsidP="001F45C1">
            <w:pPr>
              <w:rPr>
                <w:color w:val="17365D" w:themeColor="text2" w:themeShade="BF"/>
                <w:lang w:val="en-US"/>
              </w:rPr>
            </w:pPr>
            <w:r>
              <w:rPr>
                <w:color w:val="17365D" w:themeColor="text2" w:themeShade="BF"/>
                <w:lang w:val="en-US"/>
              </w:rPr>
              <w:t xml:space="preserve"> A merged model would increase the reliance on a smaller number of individuals.</w:t>
            </w:r>
          </w:p>
          <w:p w14:paraId="2C9791E5" w14:textId="77777777" w:rsidR="00616BC9" w:rsidRDefault="00616BC9" w:rsidP="00F15DA6">
            <w:pPr>
              <w:pStyle w:val="ListNumber"/>
            </w:pPr>
            <w:r>
              <w:lastRenderedPageBreak/>
              <w:t xml:space="preserve">Operating risks: </w:t>
            </w:r>
          </w:p>
          <w:p w14:paraId="2C9791E6" w14:textId="77777777" w:rsidR="00616BC9" w:rsidRDefault="00616BC9" w:rsidP="00C22506">
            <w:pPr>
              <w:pStyle w:val="Question"/>
            </w:pPr>
            <w:r w:rsidRPr="00C22506">
              <w:t xml:space="preserve">What impact do you think mergers between funds would have on operating risks? </w:t>
            </w:r>
          </w:p>
          <w:p w14:paraId="2C9791E7" w14:textId="77777777" w:rsidR="00012566" w:rsidRPr="00012566" w:rsidRDefault="00012566" w:rsidP="00012566">
            <w:pPr>
              <w:rPr>
                <w:color w:val="17365D" w:themeColor="text2" w:themeShade="BF"/>
                <w:lang w:val="en-US"/>
              </w:rPr>
            </w:pPr>
            <w:r w:rsidRPr="00012566">
              <w:rPr>
                <w:color w:val="17365D" w:themeColor="text2" w:themeShade="BF"/>
                <w:lang w:val="en-US"/>
              </w:rPr>
              <w:t xml:space="preserve">In some instances merger can be beneficial – i.e. if the merged entity was more likely to achieve the objectives than either/any of the separate entities individually. </w:t>
            </w:r>
          </w:p>
          <w:p w14:paraId="2C9791E8" w14:textId="77777777" w:rsidR="001F45C1" w:rsidRDefault="00012566" w:rsidP="00012566">
            <w:pPr>
              <w:rPr>
                <w:color w:val="17365D" w:themeColor="text2" w:themeShade="BF"/>
                <w:lang w:val="en-US"/>
              </w:rPr>
            </w:pPr>
            <w:r w:rsidRPr="00012566">
              <w:rPr>
                <w:color w:val="17365D" w:themeColor="text2" w:themeShade="BF"/>
                <w:lang w:val="en-US"/>
              </w:rPr>
              <w:t xml:space="preserve">However, for investors diversification is the primary risk mitigation. Merging investments is certain to involve a concentration of risk. </w:t>
            </w:r>
          </w:p>
          <w:p w14:paraId="2C9791E9" w14:textId="77777777" w:rsidR="00C60977" w:rsidRDefault="00C60977" w:rsidP="00012566">
            <w:pPr>
              <w:rPr>
                <w:color w:val="17365D" w:themeColor="text2" w:themeShade="BF"/>
                <w:lang w:val="en-US"/>
              </w:rPr>
            </w:pPr>
            <w:r>
              <w:rPr>
                <w:color w:val="17365D" w:themeColor="text2" w:themeShade="BF"/>
                <w:lang w:val="en-US"/>
              </w:rPr>
              <w:t xml:space="preserve">A full merger of </w:t>
            </w:r>
            <w:r w:rsidR="00012566" w:rsidRPr="00012566">
              <w:rPr>
                <w:color w:val="17365D" w:themeColor="text2" w:themeShade="BF"/>
                <w:lang w:val="en-US"/>
              </w:rPr>
              <w:t>Scottish fund</w:t>
            </w:r>
            <w:r>
              <w:rPr>
                <w:color w:val="17365D" w:themeColor="text2" w:themeShade="BF"/>
                <w:lang w:val="en-US"/>
              </w:rPr>
              <w:t>s</w:t>
            </w:r>
            <w:r w:rsidR="00012566" w:rsidRPr="00012566">
              <w:rPr>
                <w:color w:val="17365D" w:themeColor="text2" w:themeShade="BF"/>
                <w:lang w:val="en-US"/>
              </w:rPr>
              <w:t xml:space="preserve"> </w:t>
            </w:r>
            <w:r w:rsidR="001F45C1">
              <w:rPr>
                <w:color w:val="17365D" w:themeColor="text2" w:themeShade="BF"/>
                <w:lang w:val="en-US"/>
              </w:rPr>
              <w:t xml:space="preserve">might </w:t>
            </w:r>
            <w:r>
              <w:rPr>
                <w:color w:val="17365D" w:themeColor="text2" w:themeShade="BF"/>
                <w:lang w:val="en-US"/>
              </w:rPr>
              <w:t xml:space="preserve">have </w:t>
            </w:r>
            <w:r w:rsidR="001F45C1">
              <w:rPr>
                <w:color w:val="17365D" w:themeColor="text2" w:themeShade="BF"/>
                <w:lang w:val="en-US"/>
              </w:rPr>
              <w:t xml:space="preserve">slightly increased probability of </w:t>
            </w:r>
            <w:r>
              <w:rPr>
                <w:color w:val="17365D" w:themeColor="text2" w:themeShade="BF"/>
                <w:lang w:val="en-US"/>
              </w:rPr>
              <w:t>success. But size is no guarantee of success, and the impact of failure would be very significant.</w:t>
            </w:r>
          </w:p>
          <w:p w14:paraId="2C9791EA" w14:textId="77777777" w:rsidR="00616BC9" w:rsidRDefault="00616BC9" w:rsidP="00C22506">
            <w:pPr>
              <w:pStyle w:val="Question"/>
            </w:pPr>
            <w:r w:rsidRPr="00C22506">
              <w:t xml:space="preserve">What would be the positive impacts? </w:t>
            </w:r>
          </w:p>
          <w:p w14:paraId="2C9791EB" w14:textId="77777777" w:rsidR="00C60977" w:rsidRPr="00C60977" w:rsidRDefault="00C60977" w:rsidP="00C60977">
            <w:pPr>
              <w:rPr>
                <w:color w:val="17365D" w:themeColor="text2" w:themeShade="BF"/>
                <w:lang w:val="en-US"/>
              </w:rPr>
            </w:pPr>
            <w:r w:rsidRPr="00C60977">
              <w:rPr>
                <w:color w:val="17365D" w:themeColor="text2" w:themeShade="BF"/>
                <w:lang w:val="en-US"/>
              </w:rPr>
              <w:t>Potentially, better risk models.</w:t>
            </w:r>
          </w:p>
          <w:p w14:paraId="2C9791EC" w14:textId="77777777" w:rsidR="00616BC9" w:rsidRDefault="00616BC9" w:rsidP="00C22506">
            <w:pPr>
              <w:pStyle w:val="Question"/>
            </w:pPr>
            <w:r w:rsidRPr="00C22506">
              <w:t>What would be the negative impacts?</w:t>
            </w:r>
          </w:p>
          <w:p w14:paraId="2C9791ED" w14:textId="77777777" w:rsidR="00C60977" w:rsidRPr="00C60977" w:rsidRDefault="00C60977" w:rsidP="00C60977">
            <w:pPr>
              <w:rPr>
                <w:color w:val="17365D" w:themeColor="text2" w:themeShade="BF"/>
                <w:lang w:val="en-US"/>
              </w:rPr>
            </w:pPr>
            <w:r w:rsidRPr="00C60977">
              <w:rPr>
                <w:color w:val="17365D" w:themeColor="text2" w:themeShade="BF"/>
                <w:lang w:val="en-US"/>
              </w:rPr>
              <w:t>Concentration of risk.</w:t>
            </w:r>
          </w:p>
          <w:p w14:paraId="2C9791EE" w14:textId="77777777" w:rsidR="00616BC9" w:rsidRPr="002541D9" w:rsidRDefault="00616BC9" w:rsidP="00F15DA6">
            <w:pPr>
              <w:pStyle w:val="ListNumber"/>
              <w:rPr>
                <w:u w:val="single"/>
              </w:rPr>
            </w:pPr>
            <w:r>
              <w:t>Infrastructure:</w:t>
            </w:r>
          </w:p>
          <w:p w14:paraId="2C9791EF" w14:textId="77777777" w:rsidR="00616BC9" w:rsidRDefault="00616BC9" w:rsidP="00C22506">
            <w:pPr>
              <w:pStyle w:val="Question"/>
            </w:pPr>
            <w:r w:rsidRPr="00C22506">
              <w:t xml:space="preserve">What impact do you think mergers between funds would have on funds’ ability to invest in infrastructure? </w:t>
            </w:r>
          </w:p>
          <w:p w14:paraId="2C9791F0" w14:textId="77777777" w:rsidR="00C60977" w:rsidRDefault="00C60977" w:rsidP="00C60977">
            <w:pPr>
              <w:rPr>
                <w:color w:val="17365D" w:themeColor="text2" w:themeShade="BF"/>
                <w:lang w:val="en-US"/>
              </w:rPr>
            </w:pPr>
            <w:r>
              <w:rPr>
                <w:color w:val="17365D" w:themeColor="text2" w:themeShade="BF"/>
                <w:lang w:val="en-US"/>
              </w:rPr>
              <w:t xml:space="preserve">A full merger of Scottish funds could increase investment in infrastructure, but this would depend on the </w:t>
            </w:r>
            <w:r w:rsidR="00B22FD4">
              <w:rPr>
                <w:color w:val="17365D" w:themeColor="text2" w:themeShade="BF"/>
                <w:lang w:val="en-US"/>
              </w:rPr>
              <w:t>investment strategy of the merged fund and those managing it.</w:t>
            </w:r>
          </w:p>
          <w:p w14:paraId="2C9791F1" w14:textId="77777777" w:rsidR="00C60977" w:rsidRPr="00C60977" w:rsidRDefault="00B22FD4" w:rsidP="00C60977">
            <w:pPr>
              <w:rPr>
                <w:lang w:val="en-US"/>
              </w:rPr>
            </w:pPr>
            <w:r>
              <w:rPr>
                <w:color w:val="17365D" w:themeColor="text2" w:themeShade="BF"/>
                <w:lang w:val="en-US"/>
              </w:rPr>
              <w:t>However, m</w:t>
            </w:r>
            <w:r w:rsidR="00C60977">
              <w:rPr>
                <w:color w:val="17365D" w:themeColor="text2" w:themeShade="BF"/>
                <w:lang w:val="en-US"/>
              </w:rPr>
              <w:t xml:space="preserve">erging the funds simply to achieve more investment in infrastructure, which is not a primary pension fund objective, would be </w:t>
            </w:r>
            <w:r w:rsidR="00C2463A">
              <w:rPr>
                <w:color w:val="17365D" w:themeColor="text2" w:themeShade="BF"/>
                <w:lang w:val="en-US"/>
              </w:rPr>
              <w:t xml:space="preserve">a </w:t>
            </w:r>
            <w:r w:rsidR="00C60977">
              <w:rPr>
                <w:color w:val="17365D" w:themeColor="text2" w:themeShade="BF"/>
                <w:lang w:val="en-US"/>
              </w:rPr>
              <w:t>perverse</w:t>
            </w:r>
            <w:r w:rsidR="00C2463A">
              <w:rPr>
                <w:color w:val="17365D" w:themeColor="text2" w:themeShade="BF"/>
                <w:lang w:val="en-US"/>
              </w:rPr>
              <w:t xml:space="preserve"> decision</w:t>
            </w:r>
            <w:r w:rsidR="00C60977">
              <w:rPr>
                <w:color w:val="17365D" w:themeColor="text2" w:themeShade="BF"/>
                <w:lang w:val="en-US"/>
              </w:rPr>
              <w:t xml:space="preserve">.  </w:t>
            </w:r>
          </w:p>
          <w:p w14:paraId="2C9791F2" w14:textId="77777777" w:rsidR="00616BC9" w:rsidRDefault="00616BC9" w:rsidP="00C22506">
            <w:pPr>
              <w:pStyle w:val="Question"/>
            </w:pPr>
            <w:r w:rsidRPr="00C22506">
              <w:t xml:space="preserve">What would be the positive impacts? </w:t>
            </w:r>
          </w:p>
          <w:p w14:paraId="2C9791F3" w14:textId="77777777" w:rsidR="00C2463A" w:rsidRPr="00C2463A" w:rsidRDefault="00C2463A" w:rsidP="00C2463A">
            <w:pPr>
              <w:rPr>
                <w:color w:val="17365D" w:themeColor="text2" w:themeShade="BF"/>
                <w:lang w:val="en-US"/>
              </w:rPr>
            </w:pPr>
            <w:r>
              <w:rPr>
                <w:color w:val="17365D" w:themeColor="text2" w:themeShade="BF"/>
                <w:lang w:val="en-US"/>
              </w:rPr>
              <w:t>A merged fund or funds could potentially make larger individual investments.</w:t>
            </w:r>
          </w:p>
          <w:p w14:paraId="2C9791F4" w14:textId="77777777" w:rsidR="00616BC9" w:rsidRDefault="00616BC9" w:rsidP="00C22506">
            <w:pPr>
              <w:pStyle w:val="Question"/>
            </w:pPr>
            <w:r w:rsidRPr="00C22506">
              <w:t>What would be the negative impacts?</w:t>
            </w:r>
          </w:p>
          <w:p w14:paraId="2C9791F5" w14:textId="77777777" w:rsidR="00C2463A" w:rsidRPr="00C2463A" w:rsidRDefault="00C2463A" w:rsidP="00C2463A">
            <w:pPr>
              <w:rPr>
                <w:color w:val="17365D" w:themeColor="text2" w:themeShade="BF"/>
                <w:lang w:val="en-US"/>
              </w:rPr>
            </w:pPr>
            <w:r>
              <w:rPr>
                <w:color w:val="17365D" w:themeColor="text2" w:themeShade="BF"/>
                <w:lang w:val="en-US"/>
              </w:rPr>
              <w:t xml:space="preserve">Larger individual investments could represent a greater concentration of risk. </w:t>
            </w:r>
          </w:p>
          <w:p w14:paraId="2C9791F6" w14:textId="77777777" w:rsidR="00616BC9" w:rsidRDefault="00616BC9" w:rsidP="00F15DA6">
            <w:pPr>
              <w:pStyle w:val="ListNumber"/>
            </w:pPr>
            <w:r>
              <w:t>Do you have any additional comments about this option?</w:t>
            </w:r>
          </w:p>
          <w:p w14:paraId="2C9791F7" w14:textId="77777777" w:rsidR="00616BC9" w:rsidRDefault="00C2463A" w:rsidP="000C4E12">
            <w:pPr>
              <w:rPr>
                <w:color w:val="17365D" w:themeColor="text2" w:themeShade="BF"/>
              </w:rPr>
            </w:pPr>
            <w:r w:rsidRPr="001D7C8C">
              <w:rPr>
                <w:color w:val="17365D" w:themeColor="text2" w:themeShade="BF"/>
              </w:rPr>
              <w:lastRenderedPageBreak/>
              <w:t xml:space="preserve">At the extreme, merger into one fund would be likely to break the direct link between the scheme and local government by taking the fund out of local government control. </w:t>
            </w:r>
          </w:p>
          <w:p w14:paraId="2C9791F8" w14:textId="77777777" w:rsidR="008033A3" w:rsidRPr="001D7C8C" w:rsidRDefault="008033A3" w:rsidP="000C4E12">
            <w:pPr>
              <w:rPr>
                <w:color w:val="17365D" w:themeColor="text2" w:themeShade="BF"/>
              </w:rPr>
            </w:pPr>
            <w:r>
              <w:rPr>
                <w:color w:val="17365D" w:themeColor="text2" w:themeShade="BF"/>
              </w:rPr>
              <w:t>Whilst a fund of this size would undoubtedly enjoy benefits of scale, size is not a guarantor</w:t>
            </w:r>
            <w:r w:rsidR="00F3009F">
              <w:rPr>
                <w:color w:val="17365D" w:themeColor="text2" w:themeShade="BF"/>
              </w:rPr>
              <w:t>,</w:t>
            </w:r>
            <w:r>
              <w:rPr>
                <w:color w:val="17365D" w:themeColor="text2" w:themeShade="BF"/>
              </w:rPr>
              <w:t xml:space="preserve"> nor necessarily a determinant of success. </w:t>
            </w:r>
          </w:p>
          <w:p w14:paraId="2C9791F9" w14:textId="77777777" w:rsidR="00616BC9" w:rsidRDefault="008033A3" w:rsidP="00F3009F">
            <w:r w:rsidRPr="008033A3">
              <w:rPr>
                <w:color w:val="17365D" w:themeColor="text2" w:themeShade="BF"/>
              </w:rPr>
              <w:t xml:space="preserve">The UK’s </w:t>
            </w:r>
            <w:r>
              <w:rPr>
                <w:color w:val="17365D" w:themeColor="text2" w:themeShade="BF"/>
              </w:rPr>
              <w:t xml:space="preserve">2 largest pension funds are the Universities Superannuation Scheme (USS) and the British Telecom Pension Scheme (BTPS). Both have assets of around £50 billion (a little more than the combined value of the Scottish LGPS funds). Both are very well managed in many respects. Yet both have significant funding deficits – in excess of £10 billion in each case </w:t>
            </w:r>
            <w:r w:rsidR="00B84796">
              <w:rPr>
                <w:color w:val="17365D" w:themeColor="text2" w:themeShade="BF"/>
              </w:rPr>
              <w:t xml:space="preserve">– </w:t>
            </w:r>
            <w:r>
              <w:rPr>
                <w:color w:val="17365D" w:themeColor="text2" w:themeShade="BF"/>
              </w:rPr>
              <w:t xml:space="preserve">and are contemplating, or have effected closure of their schemes to new defined benefit accrual. </w:t>
            </w:r>
          </w:p>
        </w:tc>
      </w:tr>
    </w:tbl>
    <w:p w14:paraId="2C9791FB" w14:textId="77777777" w:rsidR="00616BC9" w:rsidRDefault="00616BC9" w:rsidP="00513272">
      <w:pPr>
        <w:jc w:val="right"/>
      </w:pPr>
      <w:r>
        <w:lastRenderedPageBreak/>
        <w:br/>
      </w:r>
    </w:p>
    <w:p w14:paraId="2C9791FC"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2C9791FF" w14:textId="77777777" w:rsidTr="00F3009F">
        <w:tc>
          <w:tcPr>
            <w:tcW w:w="9180" w:type="dxa"/>
            <w:tcBorders>
              <w:top w:val="nil"/>
              <w:left w:val="nil"/>
              <w:right w:val="nil"/>
            </w:tcBorders>
          </w:tcPr>
          <w:p w14:paraId="2C9791FD" w14:textId="77777777" w:rsidR="00C22506" w:rsidRPr="00C22506" w:rsidRDefault="00616BC9" w:rsidP="00C22506">
            <w:pPr>
              <w:pStyle w:val="Heading2"/>
              <w:outlineLvl w:val="1"/>
            </w:pPr>
            <w:r w:rsidRPr="00C22506">
              <w:lastRenderedPageBreak/>
              <w:t>Question 5: Preferred and additional options</w:t>
            </w:r>
          </w:p>
          <w:p w14:paraId="2C9791FE" w14:textId="77777777" w:rsidR="00616BC9" w:rsidRDefault="00616BC9" w:rsidP="00C22506">
            <w:r>
              <w:t>The text can wrap onto additional pages</w:t>
            </w:r>
            <w:r w:rsidR="00CB2A52">
              <w:t>.</w:t>
            </w:r>
          </w:p>
        </w:tc>
      </w:tr>
      <w:tr w:rsidR="00616BC9" w14:paraId="2C979220" w14:textId="77777777" w:rsidTr="00F3009F">
        <w:tc>
          <w:tcPr>
            <w:tcW w:w="9180" w:type="dxa"/>
          </w:tcPr>
          <w:p w14:paraId="2C979200" w14:textId="77777777" w:rsidR="00616BC9" w:rsidRDefault="00616BC9" w:rsidP="00F15DA6">
            <w:pPr>
              <w:pStyle w:val="ListNumber"/>
              <w:numPr>
                <w:ilvl w:val="0"/>
                <w:numId w:val="36"/>
              </w:numPr>
            </w:pPr>
            <w:r>
              <w:t>Which option does your organisation prefer? Please explain your preference.</w:t>
            </w:r>
          </w:p>
          <w:p w14:paraId="2C979201" w14:textId="4F46C9ED" w:rsidR="00EB3610" w:rsidRDefault="008033A3" w:rsidP="00C22506">
            <w:pPr>
              <w:rPr>
                <w:color w:val="17365D" w:themeColor="text2" w:themeShade="BF"/>
              </w:rPr>
            </w:pPr>
            <w:r>
              <w:rPr>
                <w:color w:val="17365D" w:themeColor="text2" w:themeShade="BF"/>
              </w:rPr>
              <w:t>SPF has a current value of £21</w:t>
            </w:r>
            <w:r w:rsidR="00815A78">
              <w:rPr>
                <w:color w:val="17365D" w:themeColor="text2" w:themeShade="BF"/>
              </w:rPr>
              <w:t>.5</w:t>
            </w:r>
            <w:r>
              <w:rPr>
                <w:color w:val="17365D" w:themeColor="text2" w:themeShade="BF"/>
              </w:rPr>
              <w:t xml:space="preserve"> billion, current membership of </w:t>
            </w:r>
            <w:r w:rsidR="00EB3610">
              <w:rPr>
                <w:color w:val="17365D" w:themeColor="text2" w:themeShade="BF"/>
              </w:rPr>
              <w:t>23</w:t>
            </w:r>
            <w:r w:rsidR="00815A78">
              <w:rPr>
                <w:color w:val="17365D" w:themeColor="text2" w:themeShade="BF"/>
              </w:rPr>
              <w:t>3</w:t>
            </w:r>
            <w:r w:rsidR="00EB3610">
              <w:rPr>
                <w:color w:val="17365D" w:themeColor="text2" w:themeShade="BF"/>
              </w:rPr>
              <w:t>,000 and a current funding level in excess of 1</w:t>
            </w:r>
            <w:r w:rsidR="00815A78">
              <w:rPr>
                <w:color w:val="17365D" w:themeColor="text2" w:themeShade="BF"/>
              </w:rPr>
              <w:t>12</w:t>
            </w:r>
            <w:r w:rsidR="00EB3610">
              <w:rPr>
                <w:color w:val="17365D" w:themeColor="text2" w:themeShade="BF"/>
              </w:rPr>
              <w:t xml:space="preserve">%. </w:t>
            </w:r>
          </w:p>
          <w:p w14:paraId="65B1A22B" w14:textId="7575BD9C" w:rsidR="00150277" w:rsidRDefault="00150277" w:rsidP="00C22506">
            <w:pPr>
              <w:rPr>
                <w:color w:val="17365D" w:themeColor="text2" w:themeShade="BF"/>
              </w:rPr>
            </w:pPr>
            <w:r>
              <w:rPr>
                <w:color w:val="17365D" w:themeColor="text2" w:themeShade="BF"/>
              </w:rPr>
              <w:t xml:space="preserve">SPF has a governance structure and risk processes appropriate for a fund of this very significant size, utilising internal and external expertise.  </w:t>
            </w:r>
          </w:p>
          <w:p w14:paraId="2C979202" w14:textId="67C8676B" w:rsidR="004D21B6" w:rsidRDefault="00EB3610" w:rsidP="00C22506">
            <w:pPr>
              <w:rPr>
                <w:color w:val="17365D" w:themeColor="text2" w:themeShade="BF"/>
              </w:rPr>
            </w:pPr>
            <w:r>
              <w:rPr>
                <w:color w:val="17365D" w:themeColor="text2" w:themeShade="BF"/>
              </w:rPr>
              <w:t>SPF enjoys considerable benefits of scale in terms of cost</w:t>
            </w:r>
            <w:r w:rsidR="00B84796">
              <w:rPr>
                <w:color w:val="17365D" w:themeColor="text2" w:themeShade="BF"/>
              </w:rPr>
              <w:t>,</w:t>
            </w:r>
            <w:r>
              <w:rPr>
                <w:color w:val="17365D" w:themeColor="text2" w:themeShade="BF"/>
              </w:rPr>
              <w:t xml:space="preserve"> influence</w:t>
            </w:r>
            <w:r w:rsidR="00B84796">
              <w:rPr>
                <w:color w:val="17365D" w:themeColor="text2" w:themeShade="BF"/>
              </w:rPr>
              <w:t>,</w:t>
            </w:r>
            <w:r>
              <w:rPr>
                <w:color w:val="17365D" w:themeColor="text2" w:themeShade="BF"/>
              </w:rPr>
              <w:t xml:space="preserve"> and access to investments</w:t>
            </w:r>
            <w:r w:rsidR="006E0903">
              <w:rPr>
                <w:color w:val="17365D" w:themeColor="text2" w:themeShade="BF"/>
              </w:rPr>
              <w:t xml:space="preserve"> and is able to manage or avoid </w:t>
            </w:r>
            <w:r>
              <w:rPr>
                <w:color w:val="17365D" w:themeColor="text2" w:themeShade="BF"/>
              </w:rPr>
              <w:t xml:space="preserve">the potential downside that scale can bring (lack of flexibility, insufficient scale of opportunity, concentration of risk). </w:t>
            </w:r>
          </w:p>
          <w:p w14:paraId="2C979203" w14:textId="77777777" w:rsidR="00EB3610" w:rsidRDefault="004D21B6" w:rsidP="00C22506">
            <w:pPr>
              <w:rPr>
                <w:color w:val="17365D" w:themeColor="text2" w:themeShade="BF"/>
              </w:rPr>
            </w:pPr>
            <w:r>
              <w:rPr>
                <w:color w:val="17365D" w:themeColor="text2" w:themeShade="BF"/>
              </w:rPr>
              <w:t>SPF has existing infrastructure commitments of over £1 billion. The infrastructure strategy is relatively new and this total is likely to increase, particularly if attractive opportunities continue to emerge.</w:t>
            </w:r>
            <w:r w:rsidR="00EB3610">
              <w:rPr>
                <w:color w:val="17365D" w:themeColor="text2" w:themeShade="BF"/>
              </w:rPr>
              <w:t xml:space="preserve">  </w:t>
            </w:r>
          </w:p>
          <w:p w14:paraId="2C979204" w14:textId="25BCBB9D" w:rsidR="00C22506" w:rsidRDefault="00EB3610" w:rsidP="00C22506">
            <w:pPr>
              <w:rPr>
                <w:color w:val="17365D" w:themeColor="text2" w:themeShade="BF"/>
              </w:rPr>
            </w:pPr>
            <w:r>
              <w:rPr>
                <w:color w:val="17365D" w:themeColor="text2" w:themeShade="BF"/>
              </w:rPr>
              <w:t xml:space="preserve">From an SPF perspective, it is not clear what would be gained by its members or participating employers from adoption of any of the proposed alternative models. </w:t>
            </w:r>
            <w:r w:rsidR="00BD075E">
              <w:rPr>
                <w:color w:val="17365D" w:themeColor="text2" w:themeShade="BF"/>
              </w:rPr>
              <w:t xml:space="preserve">It is certain, though, that there would be significant costs and risks associated with any change.  </w:t>
            </w:r>
            <w:r w:rsidR="008033A3">
              <w:rPr>
                <w:color w:val="17365D" w:themeColor="text2" w:themeShade="BF"/>
              </w:rPr>
              <w:t xml:space="preserve"> </w:t>
            </w:r>
          </w:p>
          <w:p w14:paraId="2C979205" w14:textId="77777777" w:rsidR="00616BC9" w:rsidRDefault="00616BC9" w:rsidP="00F15DA6">
            <w:pPr>
              <w:pStyle w:val="ListNumber"/>
            </w:pPr>
            <w:r w:rsidRPr="00604047">
              <w:t>What other options should be considered for the future structure of the LGPS?</w:t>
            </w:r>
          </w:p>
          <w:p w14:paraId="2C979206" w14:textId="77777777" w:rsidR="00C22506" w:rsidRDefault="008F1C07" w:rsidP="00C22506">
            <w:pPr>
              <w:rPr>
                <w:color w:val="17365D" w:themeColor="text2" w:themeShade="BF"/>
              </w:rPr>
            </w:pPr>
            <w:r>
              <w:rPr>
                <w:color w:val="17365D" w:themeColor="text2" w:themeShade="BF"/>
              </w:rPr>
              <w:t>Whilst the other Scottish funds may not enjoy the same benefits of scale as SPF, they do appear to be achieving their objectives.</w:t>
            </w:r>
          </w:p>
          <w:p w14:paraId="2C979207" w14:textId="77777777" w:rsidR="008F1C07" w:rsidRDefault="008F1C07" w:rsidP="00C22506">
            <w:pPr>
              <w:rPr>
                <w:color w:val="17365D" w:themeColor="text2" w:themeShade="BF"/>
              </w:rPr>
            </w:pPr>
            <w:r w:rsidRPr="00670BC4">
              <w:rPr>
                <w:color w:val="17365D" w:themeColor="text2" w:themeShade="BF"/>
              </w:rPr>
              <w:t xml:space="preserve">The scheme does face significant challenges in the current, difficult pensions environment, and funds will need to adapt to address these. </w:t>
            </w:r>
            <w:r>
              <w:rPr>
                <w:color w:val="17365D" w:themeColor="text2" w:themeShade="BF"/>
              </w:rPr>
              <w:t>There are extant examples of how the other options considered in this consultation can assist with this.</w:t>
            </w:r>
          </w:p>
          <w:p w14:paraId="2C979208" w14:textId="77777777" w:rsidR="008F1C07" w:rsidRDefault="008F1C07" w:rsidP="00C22506">
            <w:pPr>
              <w:rPr>
                <w:color w:val="17365D" w:themeColor="text2" w:themeShade="BF"/>
              </w:rPr>
            </w:pPr>
            <w:r>
              <w:rPr>
                <w:color w:val="17365D" w:themeColor="text2" w:themeShade="BF"/>
              </w:rPr>
              <w:t>These include:</w:t>
            </w:r>
          </w:p>
          <w:p w14:paraId="2C979209" w14:textId="77777777" w:rsidR="008F1C07" w:rsidRPr="004D21B6" w:rsidRDefault="008F1C07" w:rsidP="004D21B6">
            <w:pPr>
              <w:pStyle w:val="ListParagraph"/>
              <w:numPr>
                <w:ilvl w:val="0"/>
                <w:numId w:val="30"/>
              </w:numPr>
              <w:rPr>
                <w:color w:val="17365D" w:themeColor="text2" w:themeShade="BF"/>
              </w:rPr>
            </w:pPr>
            <w:r w:rsidRPr="004D21B6">
              <w:rPr>
                <w:color w:val="17365D" w:themeColor="text2" w:themeShade="BF"/>
              </w:rPr>
              <w:t xml:space="preserve">collaboration between all the funds to introduce the LGPS 2015 scheme </w:t>
            </w:r>
          </w:p>
          <w:p w14:paraId="2C97920A" w14:textId="77777777" w:rsidR="008F1C07" w:rsidRPr="004D21B6" w:rsidRDefault="008F1C07" w:rsidP="004D21B6">
            <w:pPr>
              <w:pStyle w:val="ListParagraph"/>
              <w:numPr>
                <w:ilvl w:val="0"/>
                <w:numId w:val="30"/>
              </w:numPr>
              <w:rPr>
                <w:color w:val="17365D" w:themeColor="text2" w:themeShade="BF"/>
              </w:rPr>
            </w:pPr>
            <w:r w:rsidRPr="004D21B6">
              <w:rPr>
                <w:color w:val="17365D" w:themeColor="text2" w:themeShade="BF"/>
              </w:rPr>
              <w:t>the joint Lothian and Falkirk initiative on infrastructure investment</w:t>
            </w:r>
          </w:p>
          <w:p w14:paraId="2C97920B" w14:textId="77777777" w:rsidR="004D21B6" w:rsidRPr="004D21B6" w:rsidRDefault="004D21B6" w:rsidP="004D21B6">
            <w:pPr>
              <w:pStyle w:val="ListParagraph"/>
              <w:numPr>
                <w:ilvl w:val="0"/>
                <w:numId w:val="30"/>
              </w:numPr>
              <w:rPr>
                <w:color w:val="17365D" w:themeColor="text2" w:themeShade="BF"/>
              </w:rPr>
            </w:pPr>
            <w:r w:rsidRPr="004D21B6">
              <w:rPr>
                <w:color w:val="17365D" w:themeColor="text2" w:themeShade="BF"/>
              </w:rPr>
              <w:t>the creation of a pooled investment vehicle for Scottish real assets currently being developed by SFT.</w:t>
            </w:r>
          </w:p>
          <w:p w14:paraId="2C97920C" w14:textId="77777777" w:rsidR="008F1C07" w:rsidRDefault="004D21B6" w:rsidP="00C22506">
            <w:pPr>
              <w:rPr>
                <w:color w:val="17365D" w:themeColor="text2" w:themeShade="BF"/>
              </w:rPr>
            </w:pPr>
            <w:r>
              <w:rPr>
                <w:color w:val="17365D" w:themeColor="text2" w:themeShade="BF"/>
              </w:rPr>
              <w:t xml:space="preserve">These are all recent developments which have occurred organically </w:t>
            </w:r>
            <w:r w:rsidR="005527B6">
              <w:rPr>
                <w:color w:val="17365D" w:themeColor="text2" w:themeShade="BF"/>
              </w:rPr>
              <w:t xml:space="preserve">within the existing LGPS structure </w:t>
            </w:r>
            <w:r>
              <w:rPr>
                <w:color w:val="17365D" w:themeColor="text2" w:themeShade="BF"/>
              </w:rPr>
              <w:t>rather than by any form of enforced direction</w:t>
            </w:r>
            <w:r w:rsidR="005527B6">
              <w:rPr>
                <w:color w:val="17365D" w:themeColor="text2" w:themeShade="BF"/>
              </w:rPr>
              <w:t xml:space="preserve"> or change of structure</w:t>
            </w:r>
            <w:r>
              <w:rPr>
                <w:color w:val="17365D" w:themeColor="text2" w:themeShade="BF"/>
              </w:rPr>
              <w:t xml:space="preserve">. </w:t>
            </w:r>
          </w:p>
          <w:p w14:paraId="2C97920D" w14:textId="77777777" w:rsidR="004D21B6" w:rsidRDefault="004D21B6" w:rsidP="00C22506">
            <w:pPr>
              <w:rPr>
                <w:color w:val="17365D" w:themeColor="text2" w:themeShade="BF"/>
              </w:rPr>
            </w:pPr>
            <w:r>
              <w:rPr>
                <w:color w:val="17365D" w:themeColor="text2" w:themeShade="BF"/>
              </w:rPr>
              <w:lastRenderedPageBreak/>
              <w:t>There is undoubtedly more scope for further development of these and similar initiatives</w:t>
            </w:r>
            <w:r w:rsidR="005527B6">
              <w:rPr>
                <w:color w:val="17365D" w:themeColor="text2" w:themeShade="BF"/>
              </w:rPr>
              <w:t xml:space="preserve"> within the current structure</w:t>
            </w:r>
            <w:r w:rsidR="00CA0C38">
              <w:rPr>
                <w:color w:val="17365D" w:themeColor="text2" w:themeShade="BF"/>
              </w:rPr>
              <w:t>, and this should be encouraged and actively supported for the benefit of the funds and their members and participating employers</w:t>
            </w:r>
            <w:r>
              <w:rPr>
                <w:color w:val="17365D" w:themeColor="text2" w:themeShade="BF"/>
              </w:rPr>
              <w:t xml:space="preserve">. </w:t>
            </w:r>
          </w:p>
          <w:p w14:paraId="2C97920E" w14:textId="2DE82795" w:rsidR="00CA0C38" w:rsidRDefault="00915B05" w:rsidP="00C22506">
            <w:pPr>
              <w:rPr>
                <w:color w:val="17365D" w:themeColor="text2" w:themeShade="BF"/>
              </w:rPr>
            </w:pPr>
            <w:r>
              <w:rPr>
                <w:color w:val="17365D" w:themeColor="text2" w:themeShade="BF"/>
              </w:rPr>
              <w:t xml:space="preserve">Future development </w:t>
            </w:r>
            <w:r w:rsidR="005527B6">
              <w:rPr>
                <w:color w:val="17365D" w:themeColor="text2" w:themeShade="BF"/>
              </w:rPr>
              <w:t xml:space="preserve">of the structure </w:t>
            </w:r>
            <w:r>
              <w:rPr>
                <w:color w:val="17365D" w:themeColor="text2" w:themeShade="BF"/>
              </w:rPr>
              <w:t xml:space="preserve">may </w:t>
            </w:r>
            <w:r w:rsidR="00F15DA6">
              <w:rPr>
                <w:color w:val="17365D" w:themeColor="text2" w:themeShade="BF"/>
              </w:rPr>
              <w:t xml:space="preserve">also </w:t>
            </w:r>
            <w:r>
              <w:rPr>
                <w:color w:val="17365D" w:themeColor="text2" w:themeShade="BF"/>
              </w:rPr>
              <w:t>involve po</w:t>
            </w:r>
            <w:r w:rsidR="005527B6">
              <w:rPr>
                <w:color w:val="17365D" w:themeColor="text2" w:themeShade="BF"/>
              </w:rPr>
              <w:t>o</w:t>
            </w:r>
            <w:r>
              <w:rPr>
                <w:color w:val="17365D" w:themeColor="text2" w:themeShade="BF"/>
              </w:rPr>
              <w:t xml:space="preserve">ling or merger of funds but this should only occur where individual funds agree that this would be to the benefit of their members and employers. </w:t>
            </w:r>
            <w:r w:rsidR="005527B6">
              <w:rPr>
                <w:color w:val="17365D" w:themeColor="text2" w:themeShade="BF"/>
              </w:rPr>
              <w:t>Smaller funds should give serious</w:t>
            </w:r>
            <w:r w:rsidR="00A8357D">
              <w:rPr>
                <w:color w:val="17365D" w:themeColor="text2" w:themeShade="BF"/>
              </w:rPr>
              <w:t xml:space="preserve"> consideration to these options.</w:t>
            </w:r>
          </w:p>
          <w:p w14:paraId="2C97920F" w14:textId="77777777" w:rsidR="006E73CF" w:rsidRDefault="005527B6" w:rsidP="00C22506">
            <w:pPr>
              <w:rPr>
                <w:color w:val="17365D" w:themeColor="text2" w:themeShade="BF"/>
              </w:rPr>
            </w:pPr>
            <w:r>
              <w:rPr>
                <w:color w:val="17365D" w:themeColor="text2" w:themeShade="BF"/>
              </w:rPr>
              <w:t xml:space="preserve">The LGPS in Scotland has a good existing network of communication between funds, but </w:t>
            </w:r>
            <w:r w:rsidR="006E73CF">
              <w:rPr>
                <w:color w:val="17365D" w:themeColor="text2" w:themeShade="BF"/>
              </w:rPr>
              <w:t>its current focus is largely on information sharing and problem-solving rather than structural development. Some reorganisation of this would be required in order to support co-ordinated development. This might include</w:t>
            </w:r>
            <w:r w:rsidR="00D05171">
              <w:rPr>
                <w:color w:val="17365D" w:themeColor="text2" w:themeShade="BF"/>
              </w:rPr>
              <w:t xml:space="preserve"> t</w:t>
            </w:r>
            <w:r w:rsidR="00F15DA6">
              <w:rPr>
                <w:color w:val="17365D" w:themeColor="text2" w:themeShade="BF"/>
              </w:rPr>
              <w:t>he following:</w:t>
            </w:r>
          </w:p>
          <w:p w14:paraId="2C979210" w14:textId="77777777" w:rsidR="00B84796" w:rsidRPr="00DE3E79" w:rsidRDefault="00B84796" w:rsidP="00B84796">
            <w:pPr>
              <w:pStyle w:val="ListParagraph"/>
              <w:numPr>
                <w:ilvl w:val="0"/>
                <w:numId w:val="31"/>
              </w:numPr>
              <w:rPr>
                <w:color w:val="17365D" w:themeColor="text2" w:themeShade="BF"/>
              </w:rPr>
            </w:pPr>
            <w:r>
              <w:rPr>
                <w:color w:val="17365D" w:themeColor="text2" w:themeShade="BF"/>
              </w:rPr>
              <w:t>d</w:t>
            </w:r>
            <w:r w:rsidRPr="00DE3E79">
              <w:rPr>
                <w:color w:val="17365D" w:themeColor="text2" w:themeShade="BF"/>
              </w:rPr>
              <w:t>evelopment of a forward-looking programme to consider potential initiatives such as</w:t>
            </w:r>
            <w:r>
              <w:rPr>
                <w:color w:val="17365D" w:themeColor="text2" w:themeShade="BF"/>
              </w:rPr>
              <w:t>:</w:t>
            </w:r>
            <w:r w:rsidRPr="00DE3E79">
              <w:rPr>
                <w:color w:val="17365D" w:themeColor="text2" w:themeShade="BF"/>
              </w:rPr>
              <w:t xml:space="preserve"> </w:t>
            </w:r>
          </w:p>
          <w:p w14:paraId="2C979211"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j</w:t>
            </w:r>
            <w:r w:rsidRPr="00DE3E79">
              <w:rPr>
                <w:color w:val="17365D" w:themeColor="text2" w:themeShade="BF"/>
              </w:rPr>
              <w:t>oint investment</w:t>
            </w:r>
            <w:r w:rsidR="00F15DA6">
              <w:rPr>
                <w:color w:val="17365D" w:themeColor="text2" w:themeShade="BF"/>
              </w:rPr>
              <w:t>,</w:t>
            </w:r>
            <w:r>
              <w:rPr>
                <w:color w:val="17365D" w:themeColor="text2" w:themeShade="BF"/>
              </w:rPr>
              <w:t xml:space="preserve"> including in infrastructure</w:t>
            </w:r>
          </w:p>
          <w:p w14:paraId="2C979212"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j</w:t>
            </w:r>
            <w:r w:rsidRPr="00DE3E79">
              <w:rPr>
                <w:color w:val="17365D" w:themeColor="text2" w:themeShade="BF"/>
              </w:rPr>
              <w:t xml:space="preserve">oint or framework procurement </w:t>
            </w:r>
          </w:p>
          <w:p w14:paraId="2C979213"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j</w:t>
            </w:r>
            <w:r w:rsidRPr="00DE3E79">
              <w:rPr>
                <w:color w:val="17365D" w:themeColor="text2" w:themeShade="BF"/>
              </w:rPr>
              <w:t xml:space="preserve">oint or shared diligence </w:t>
            </w:r>
          </w:p>
          <w:p w14:paraId="2C979214"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j</w:t>
            </w:r>
            <w:r w:rsidRPr="00DE3E79">
              <w:rPr>
                <w:color w:val="17365D" w:themeColor="text2" w:themeShade="BF"/>
              </w:rPr>
              <w:t>oint engagement on environmental, social or governance issues</w:t>
            </w:r>
          </w:p>
          <w:p w14:paraId="2C979215"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s</w:t>
            </w:r>
            <w:r w:rsidRPr="00DE3E79">
              <w:rPr>
                <w:color w:val="17365D" w:themeColor="text2" w:themeShade="BF"/>
              </w:rPr>
              <w:t>hared administration and communications.</w:t>
            </w:r>
          </w:p>
          <w:p w14:paraId="2C979216"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e</w:t>
            </w:r>
            <w:r w:rsidRPr="00DE3E79">
              <w:rPr>
                <w:color w:val="17365D" w:themeColor="text2" w:themeShade="BF"/>
              </w:rPr>
              <w:t>tc.</w:t>
            </w:r>
          </w:p>
          <w:p w14:paraId="2C979217" w14:textId="77777777" w:rsidR="00D05171" w:rsidRPr="00DE3E79" w:rsidRDefault="00B84796" w:rsidP="00DE3E79">
            <w:pPr>
              <w:pStyle w:val="ListParagraph"/>
              <w:numPr>
                <w:ilvl w:val="0"/>
                <w:numId w:val="31"/>
              </w:numPr>
              <w:rPr>
                <w:color w:val="17365D" w:themeColor="text2" w:themeShade="BF"/>
              </w:rPr>
            </w:pPr>
            <w:r>
              <w:rPr>
                <w:color w:val="17365D" w:themeColor="text2" w:themeShade="BF"/>
              </w:rPr>
              <w:t xml:space="preserve">a </w:t>
            </w:r>
            <w:r w:rsidR="00D05171" w:rsidRPr="00DE3E79">
              <w:rPr>
                <w:color w:val="17365D" w:themeColor="text2" w:themeShade="BF"/>
              </w:rPr>
              <w:t xml:space="preserve">regular, formalised meeting of fund conveners </w:t>
            </w:r>
          </w:p>
          <w:p w14:paraId="2C979218" w14:textId="77777777" w:rsidR="00D05171" w:rsidRPr="00DE3E79" w:rsidRDefault="00B84796" w:rsidP="00DE3E79">
            <w:pPr>
              <w:pStyle w:val="ListParagraph"/>
              <w:numPr>
                <w:ilvl w:val="0"/>
                <w:numId w:val="31"/>
              </w:numPr>
              <w:rPr>
                <w:color w:val="17365D" w:themeColor="text2" w:themeShade="BF"/>
              </w:rPr>
            </w:pPr>
            <w:r>
              <w:rPr>
                <w:color w:val="17365D" w:themeColor="text2" w:themeShade="BF"/>
              </w:rPr>
              <w:t>a</w:t>
            </w:r>
            <w:r w:rsidR="006E73CF" w:rsidRPr="00DE3E79">
              <w:rPr>
                <w:color w:val="17365D" w:themeColor="text2" w:themeShade="BF"/>
              </w:rPr>
              <w:t>dding resource at a Scheme Advisory Board</w:t>
            </w:r>
            <w:r w:rsidR="00D05171" w:rsidRPr="00DE3E79">
              <w:rPr>
                <w:color w:val="17365D" w:themeColor="text2" w:themeShade="BF"/>
              </w:rPr>
              <w:t xml:space="preserve"> or cross-fund level, as well as in some instances at fund level</w:t>
            </w:r>
          </w:p>
          <w:p w14:paraId="2C979219" w14:textId="77777777" w:rsidR="00D05171" w:rsidRPr="00DE3E79" w:rsidRDefault="00B84796" w:rsidP="00DE3E79">
            <w:pPr>
              <w:pStyle w:val="ListParagraph"/>
              <w:numPr>
                <w:ilvl w:val="0"/>
                <w:numId w:val="31"/>
              </w:numPr>
              <w:rPr>
                <w:color w:val="17365D" w:themeColor="text2" w:themeShade="BF"/>
              </w:rPr>
            </w:pPr>
            <w:r>
              <w:rPr>
                <w:color w:val="17365D" w:themeColor="text2" w:themeShade="BF"/>
              </w:rPr>
              <w:t>e</w:t>
            </w:r>
            <w:r w:rsidR="00D05171" w:rsidRPr="00DE3E79">
              <w:rPr>
                <w:color w:val="17365D" w:themeColor="text2" w:themeShade="BF"/>
              </w:rPr>
              <w:t xml:space="preserve">stablishment of more localised “hubs” to consider structural </w:t>
            </w:r>
            <w:r w:rsidR="00DE3E79">
              <w:rPr>
                <w:color w:val="17365D" w:themeColor="text2" w:themeShade="BF"/>
              </w:rPr>
              <w:t xml:space="preserve">and investment </w:t>
            </w:r>
            <w:r w:rsidR="00D05171" w:rsidRPr="00DE3E79">
              <w:rPr>
                <w:color w:val="17365D" w:themeColor="text2" w:themeShade="BF"/>
              </w:rPr>
              <w:t xml:space="preserve">matters – potentially 3: for the North, West and East of Scotland. </w:t>
            </w:r>
          </w:p>
          <w:p w14:paraId="2C97921A" w14:textId="77777777" w:rsidR="005527B6" w:rsidRDefault="005527B6" w:rsidP="00C22506">
            <w:pPr>
              <w:rPr>
                <w:color w:val="17365D" w:themeColor="text2" w:themeShade="BF"/>
              </w:rPr>
            </w:pPr>
            <w:r>
              <w:rPr>
                <w:color w:val="17365D" w:themeColor="text2" w:themeShade="BF"/>
              </w:rPr>
              <w:t xml:space="preserve">SPF would be </w:t>
            </w:r>
            <w:r w:rsidR="00B84796">
              <w:rPr>
                <w:color w:val="17365D" w:themeColor="text2" w:themeShade="BF"/>
              </w:rPr>
              <w:t xml:space="preserve">happy </w:t>
            </w:r>
            <w:r>
              <w:rPr>
                <w:color w:val="17365D" w:themeColor="text2" w:themeShade="BF"/>
              </w:rPr>
              <w:t>to support</w:t>
            </w:r>
            <w:r w:rsidR="00D05171">
              <w:rPr>
                <w:color w:val="17365D" w:themeColor="text2" w:themeShade="BF"/>
              </w:rPr>
              <w:t xml:space="preserve">, participate in and, where appropriate, lead such initiatives </w:t>
            </w:r>
          </w:p>
          <w:p w14:paraId="2C97921B" w14:textId="77777777" w:rsidR="00616BC9" w:rsidRDefault="00616BC9" w:rsidP="00F15DA6">
            <w:pPr>
              <w:pStyle w:val="ListNumbe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14:paraId="2C97921C" w14:textId="77777777" w:rsidR="00C22506" w:rsidRPr="00DE3E79" w:rsidRDefault="00DE3E79" w:rsidP="00C22506">
            <w:pPr>
              <w:rPr>
                <w:color w:val="17365D" w:themeColor="text2" w:themeShade="BF"/>
              </w:rPr>
            </w:pPr>
            <w:r>
              <w:rPr>
                <w:color w:val="17365D" w:themeColor="text2" w:themeShade="BF"/>
              </w:rPr>
              <w:t xml:space="preserve">Development of the structure on a </w:t>
            </w:r>
            <w:r w:rsidR="00B84796">
              <w:rPr>
                <w:color w:val="17365D" w:themeColor="text2" w:themeShade="BF"/>
              </w:rPr>
              <w:t xml:space="preserve">collaborative basis as </w:t>
            </w:r>
            <w:r>
              <w:rPr>
                <w:color w:val="17365D" w:themeColor="text2" w:themeShade="BF"/>
              </w:rPr>
              <w:t xml:space="preserve">suggested above, could generate many of the advantages of the individual options identified without the disruption, transitional cost and likely unintended consequences that selecting and </w:t>
            </w:r>
            <w:r w:rsidR="00B84796">
              <w:rPr>
                <w:color w:val="17365D" w:themeColor="text2" w:themeShade="BF"/>
              </w:rPr>
              <w:t>mandatin</w:t>
            </w:r>
            <w:r>
              <w:rPr>
                <w:color w:val="17365D" w:themeColor="text2" w:themeShade="BF"/>
              </w:rPr>
              <w:t xml:space="preserve">g one option would produce. </w:t>
            </w:r>
          </w:p>
          <w:p w14:paraId="2C97921D" w14:textId="77777777" w:rsidR="00616BC9" w:rsidRDefault="00616BC9" w:rsidP="00F15DA6">
            <w:pPr>
              <w:pStyle w:val="ListNumber"/>
            </w:pPr>
            <w:r>
              <w:t>Are there any other comments you would like to make?</w:t>
            </w:r>
          </w:p>
          <w:p w14:paraId="2C97921E" w14:textId="77777777" w:rsidR="00C22506" w:rsidRPr="00DE3E79" w:rsidRDefault="00286F98" w:rsidP="00C22506">
            <w:pPr>
              <w:rPr>
                <w:color w:val="17365D" w:themeColor="text2" w:themeShade="BF"/>
              </w:rPr>
            </w:pPr>
            <w:r>
              <w:rPr>
                <w:color w:val="17365D" w:themeColor="text2" w:themeShade="BF"/>
              </w:rPr>
              <w:lastRenderedPageBreak/>
              <w:t xml:space="preserve">It should always be remembered that pensions provision is a very long-term undertaking. Structural development should be clearly focused on the long-term sustainability of the scheme rather than any more transient imperative or objective. </w:t>
            </w:r>
          </w:p>
          <w:p w14:paraId="2C97921F" w14:textId="77777777" w:rsidR="00616BC9" w:rsidRDefault="00616BC9" w:rsidP="00F3009F"/>
        </w:tc>
      </w:tr>
    </w:tbl>
    <w:p w14:paraId="2C979221" w14:textId="77777777" w:rsidR="00513272" w:rsidRDefault="00513272" w:rsidP="00513272">
      <w:pPr>
        <w:jc w:val="right"/>
      </w:pPr>
    </w:p>
    <w:p w14:paraId="2C979222" w14:textId="77777777" w:rsidR="00422809" w:rsidRPr="005855EF" w:rsidRDefault="00422809" w:rsidP="00513272">
      <w:pPr>
        <w:jc w:val="right"/>
      </w:pPr>
      <w:r>
        <w:t>The consultation questions end.</w:t>
      </w:r>
    </w:p>
    <w:sectPr w:rsidR="00422809" w:rsidRPr="005855E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9225" w14:textId="77777777" w:rsidR="00F900A9" w:rsidRDefault="00F900A9" w:rsidP="009A675B">
      <w:pPr>
        <w:spacing w:after="0"/>
      </w:pPr>
      <w:r>
        <w:separator/>
      </w:r>
    </w:p>
  </w:endnote>
  <w:endnote w:type="continuationSeparator" w:id="0">
    <w:p w14:paraId="2C979226" w14:textId="77777777" w:rsidR="00F900A9" w:rsidRDefault="00F900A9"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9227" w14:textId="77777777" w:rsidR="00F900A9" w:rsidRDefault="00F900A9" w:rsidP="009A675B">
    <w:pPr>
      <w:pStyle w:val="Footer"/>
      <w:jc w:val="right"/>
    </w:pPr>
    <w:r>
      <w:t xml:space="preserve">Page </w:t>
    </w:r>
    <w:r>
      <w:fldChar w:fldCharType="begin"/>
    </w:r>
    <w:r>
      <w:instrText xml:space="preserve"> PAGE   \* MERGEFORMAT </w:instrText>
    </w:r>
    <w:r>
      <w:fldChar w:fldCharType="separate"/>
    </w:r>
    <w:r w:rsidR="00DF6507">
      <w:rPr>
        <w:noProof/>
      </w:rPr>
      <w:t>21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DF6507">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9223" w14:textId="77777777" w:rsidR="00F900A9" w:rsidRDefault="00F900A9" w:rsidP="009A675B">
      <w:pPr>
        <w:spacing w:after="0"/>
      </w:pPr>
      <w:r>
        <w:separator/>
      </w:r>
    </w:p>
  </w:footnote>
  <w:footnote w:type="continuationSeparator" w:id="0">
    <w:p w14:paraId="2C979224" w14:textId="77777777" w:rsidR="00F900A9" w:rsidRDefault="00F900A9" w:rsidP="009A67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D9DD" w14:textId="77777777" w:rsidR="00F900A9" w:rsidRDefault="00F90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B7CF" w14:textId="452F6F9E" w:rsidR="00F900A9" w:rsidRDefault="00F900A9" w:rsidP="0099278D">
    <w:pPr>
      <w:pStyle w:val="Header"/>
      <w:jc w:val="right"/>
      <w:rPr>
        <w:b/>
        <w:sz w:val="28"/>
        <w:szCs w:val="28"/>
      </w:rPr>
    </w:pPr>
    <w:r w:rsidRPr="0099278D">
      <w:rPr>
        <w:b/>
        <w:sz w:val="28"/>
        <w:szCs w:val="28"/>
      </w:rPr>
      <w:t>Appendix A</w:t>
    </w:r>
  </w:p>
  <w:p w14:paraId="343E3015" w14:textId="653AD8B4" w:rsidR="00F900A9" w:rsidRDefault="00F900A9" w:rsidP="0099278D">
    <w:pPr>
      <w:pStyle w:val="Header"/>
      <w:rPr>
        <w:b/>
        <w:sz w:val="28"/>
        <w:szCs w:val="28"/>
      </w:rPr>
    </w:pPr>
    <w:r>
      <w:rPr>
        <w:b/>
        <w:sz w:val="28"/>
        <w:szCs w:val="28"/>
      </w:rPr>
      <w:t>Draft response by Strathclyde Pension Fund</w:t>
    </w:r>
  </w:p>
  <w:p w14:paraId="0AE7447B" w14:textId="77777777" w:rsidR="00F900A9" w:rsidRPr="0099278D" w:rsidRDefault="00F900A9" w:rsidP="0099278D">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667AF23A"/>
    <w:lvl w:ilvl="0" w:tplc="219472D2">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4218078E"/>
    <w:lvl w:ilvl="0" w:tplc="385A64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B81D73"/>
    <w:multiLevelType w:val="hybridMultilevel"/>
    <w:tmpl w:val="E5D000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43ABA"/>
    <w:multiLevelType w:val="hybridMultilevel"/>
    <w:tmpl w:val="7BEC75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1707E"/>
    <w:multiLevelType w:val="hybridMultilevel"/>
    <w:tmpl w:val="36C0AF74"/>
    <w:lvl w:ilvl="0" w:tplc="F4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C4044"/>
    <w:multiLevelType w:val="multilevel"/>
    <w:tmpl w:val="81F29C4C"/>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230F1F1C"/>
    <w:multiLevelType w:val="hybridMultilevel"/>
    <w:tmpl w:val="E1BA254A"/>
    <w:lvl w:ilvl="0" w:tplc="CD2EE038">
      <w:start w:val="1"/>
      <w:numFmt w:val="lowerLetter"/>
      <w:pStyle w:val="ListNumb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B827B3"/>
    <w:multiLevelType w:val="hybridMultilevel"/>
    <w:tmpl w:val="C38C5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266907"/>
    <w:multiLevelType w:val="hybridMultilevel"/>
    <w:tmpl w:val="E71CA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713D00"/>
    <w:multiLevelType w:val="hybridMultilevel"/>
    <w:tmpl w:val="DDA81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05A13"/>
    <w:multiLevelType w:val="hybridMultilevel"/>
    <w:tmpl w:val="1FDED7CE"/>
    <w:lvl w:ilvl="0" w:tplc="79F642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113406"/>
    <w:multiLevelType w:val="multilevel"/>
    <w:tmpl w:val="81F29C4C"/>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1713B0"/>
    <w:multiLevelType w:val="hybridMultilevel"/>
    <w:tmpl w:val="F8FEEE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E5262D"/>
    <w:multiLevelType w:val="hybridMultilevel"/>
    <w:tmpl w:val="76DA0F0E"/>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13687B"/>
    <w:multiLevelType w:val="hybridMultilevel"/>
    <w:tmpl w:val="0E843A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0"/>
  </w:num>
  <w:num w:numId="3">
    <w:abstractNumId w:val="5"/>
  </w:num>
  <w:num w:numId="4">
    <w:abstractNumId w:val="20"/>
  </w:num>
  <w:num w:numId="5">
    <w:abstractNumId w:val="12"/>
  </w:num>
  <w:num w:numId="6">
    <w:abstractNumId w:val="29"/>
  </w:num>
  <w:num w:numId="7">
    <w:abstractNumId w:val="4"/>
  </w:num>
  <w:num w:numId="8">
    <w:abstractNumId w:val="32"/>
  </w:num>
  <w:num w:numId="9">
    <w:abstractNumId w:val="1"/>
  </w:num>
  <w:num w:numId="10">
    <w:abstractNumId w:val="33"/>
  </w:num>
  <w:num w:numId="11">
    <w:abstractNumId w:val="0"/>
  </w:num>
  <w:num w:numId="12">
    <w:abstractNumId w:val="25"/>
  </w:num>
  <w:num w:numId="13">
    <w:abstractNumId w:val="2"/>
  </w:num>
  <w:num w:numId="14">
    <w:abstractNumId w:val="15"/>
  </w:num>
  <w:num w:numId="15">
    <w:abstractNumId w:val="3"/>
  </w:num>
  <w:num w:numId="16">
    <w:abstractNumId w:val="18"/>
  </w:num>
  <w:num w:numId="17">
    <w:abstractNumId w:val="13"/>
  </w:num>
  <w:num w:numId="18">
    <w:abstractNumId w:val="21"/>
  </w:num>
  <w:num w:numId="19">
    <w:abstractNumId w:val="7"/>
  </w:num>
  <w:num w:numId="20">
    <w:abstractNumId w:val="10"/>
  </w:num>
  <w:num w:numId="21">
    <w:abstractNumId w:val="28"/>
  </w:num>
  <w:num w:numId="22">
    <w:abstractNumId w:val="8"/>
  </w:num>
  <w:num w:numId="23">
    <w:abstractNumId w:val="24"/>
  </w:num>
  <w:num w:numId="24">
    <w:abstractNumId w:val="31"/>
  </w:num>
  <w:num w:numId="25">
    <w:abstractNumId w:val="5"/>
  </w:num>
  <w:num w:numId="26">
    <w:abstractNumId w:val="16"/>
  </w:num>
  <w:num w:numId="27">
    <w:abstractNumId w:val="17"/>
  </w:num>
  <w:num w:numId="28">
    <w:abstractNumId w:val="22"/>
    <w:lvlOverride w:ilvl="0">
      <w:startOverride w:val="1"/>
    </w:lvlOverride>
  </w:num>
  <w:num w:numId="29">
    <w:abstractNumId w:val="22"/>
    <w:lvlOverride w:ilvl="0">
      <w:startOverride w:val="1"/>
    </w:lvlOverride>
  </w:num>
  <w:num w:numId="30">
    <w:abstractNumId w:val="34"/>
  </w:num>
  <w:num w:numId="31">
    <w:abstractNumId w:val="6"/>
  </w:num>
  <w:num w:numId="32">
    <w:abstractNumId w:val="27"/>
  </w:num>
  <w:num w:numId="33">
    <w:abstractNumId w:val="15"/>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1"/>
  </w:num>
  <w:num w:numId="38">
    <w:abstractNumId w:val="14"/>
  </w:num>
  <w:num w:numId="39">
    <w:abstractNumId w:val="9"/>
  </w:num>
  <w:num w:numId="40">
    <w:abstractNumId w:val="26"/>
  </w:num>
  <w:num w:numId="41">
    <w:abstractNumId w:val="2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037DD"/>
    <w:rsid w:val="00012566"/>
    <w:rsid w:val="00013569"/>
    <w:rsid w:val="00046B3B"/>
    <w:rsid w:val="0008758B"/>
    <w:rsid w:val="00095FE2"/>
    <w:rsid w:val="00096E72"/>
    <w:rsid w:val="000B7171"/>
    <w:rsid w:val="000C4A7C"/>
    <w:rsid w:val="000C4E12"/>
    <w:rsid w:val="00134C25"/>
    <w:rsid w:val="0014429F"/>
    <w:rsid w:val="00150277"/>
    <w:rsid w:val="001A0D16"/>
    <w:rsid w:val="001D7C8C"/>
    <w:rsid w:val="001F45C1"/>
    <w:rsid w:val="00227DED"/>
    <w:rsid w:val="00253AB5"/>
    <w:rsid w:val="00261BA5"/>
    <w:rsid w:val="00261F14"/>
    <w:rsid w:val="0026669A"/>
    <w:rsid w:val="00286F98"/>
    <w:rsid w:val="00287529"/>
    <w:rsid w:val="002927F9"/>
    <w:rsid w:val="002D2D71"/>
    <w:rsid w:val="002E3B85"/>
    <w:rsid w:val="00300715"/>
    <w:rsid w:val="00342C93"/>
    <w:rsid w:val="00354862"/>
    <w:rsid w:val="00371934"/>
    <w:rsid w:val="00390BA9"/>
    <w:rsid w:val="00395114"/>
    <w:rsid w:val="003E6CBB"/>
    <w:rsid w:val="003F64A4"/>
    <w:rsid w:val="0040185F"/>
    <w:rsid w:val="00421F9A"/>
    <w:rsid w:val="00422809"/>
    <w:rsid w:val="00423F7A"/>
    <w:rsid w:val="00467551"/>
    <w:rsid w:val="00484194"/>
    <w:rsid w:val="00496102"/>
    <w:rsid w:val="004B2A40"/>
    <w:rsid w:val="004C3922"/>
    <w:rsid w:val="004D21B6"/>
    <w:rsid w:val="004D25CB"/>
    <w:rsid w:val="004E4C4C"/>
    <w:rsid w:val="004F5BA0"/>
    <w:rsid w:val="004F6682"/>
    <w:rsid w:val="00513272"/>
    <w:rsid w:val="005217D3"/>
    <w:rsid w:val="00540254"/>
    <w:rsid w:val="005527B6"/>
    <w:rsid w:val="005938F7"/>
    <w:rsid w:val="005B6AD2"/>
    <w:rsid w:val="005E0AC3"/>
    <w:rsid w:val="005F1411"/>
    <w:rsid w:val="006018C2"/>
    <w:rsid w:val="00612995"/>
    <w:rsid w:val="00616BC9"/>
    <w:rsid w:val="00647C8D"/>
    <w:rsid w:val="00663999"/>
    <w:rsid w:val="00670BC4"/>
    <w:rsid w:val="006A555E"/>
    <w:rsid w:val="006C2D94"/>
    <w:rsid w:val="006C41F5"/>
    <w:rsid w:val="006E0903"/>
    <w:rsid w:val="006E367F"/>
    <w:rsid w:val="006E73CF"/>
    <w:rsid w:val="00710F96"/>
    <w:rsid w:val="00733DA3"/>
    <w:rsid w:val="00754915"/>
    <w:rsid w:val="0079185B"/>
    <w:rsid w:val="00796014"/>
    <w:rsid w:val="007A4112"/>
    <w:rsid w:val="007E6A4F"/>
    <w:rsid w:val="008033A3"/>
    <w:rsid w:val="00815A78"/>
    <w:rsid w:val="008315CC"/>
    <w:rsid w:val="00866DCD"/>
    <w:rsid w:val="008B7C03"/>
    <w:rsid w:val="008C5A45"/>
    <w:rsid w:val="008E4177"/>
    <w:rsid w:val="008E48E3"/>
    <w:rsid w:val="008F1C07"/>
    <w:rsid w:val="00904DA3"/>
    <w:rsid w:val="009060E7"/>
    <w:rsid w:val="00915B05"/>
    <w:rsid w:val="009244A4"/>
    <w:rsid w:val="00970822"/>
    <w:rsid w:val="0099278D"/>
    <w:rsid w:val="009A675B"/>
    <w:rsid w:val="009D4F44"/>
    <w:rsid w:val="009E6CED"/>
    <w:rsid w:val="00A47523"/>
    <w:rsid w:val="00A6024E"/>
    <w:rsid w:val="00A71D1F"/>
    <w:rsid w:val="00A8357D"/>
    <w:rsid w:val="00A9502D"/>
    <w:rsid w:val="00AA6F99"/>
    <w:rsid w:val="00AB321D"/>
    <w:rsid w:val="00AC4147"/>
    <w:rsid w:val="00AD1D40"/>
    <w:rsid w:val="00B22FD4"/>
    <w:rsid w:val="00B84796"/>
    <w:rsid w:val="00BD075E"/>
    <w:rsid w:val="00C22506"/>
    <w:rsid w:val="00C2463A"/>
    <w:rsid w:val="00C31E54"/>
    <w:rsid w:val="00C52268"/>
    <w:rsid w:val="00C60977"/>
    <w:rsid w:val="00C86F34"/>
    <w:rsid w:val="00C95D94"/>
    <w:rsid w:val="00CA0C38"/>
    <w:rsid w:val="00CB2A52"/>
    <w:rsid w:val="00CD3011"/>
    <w:rsid w:val="00CF75C2"/>
    <w:rsid w:val="00CF7E08"/>
    <w:rsid w:val="00D05171"/>
    <w:rsid w:val="00D151BB"/>
    <w:rsid w:val="00D32732"/>
    <w:rsid w:val="00D34F93"/>
    <w:rsid w:val="00D4073B"/>
    <w:rsid w:val="00D53B4B"/>
    <w:rsid w:val="00D669C5"/>
    <w:rsid w:val="00D8595A"/>
    <w:rsid w:val="00D91E43"/>
    <w:rsid w:val="00DB7413"/>
    <w:rsid w:val="00DE3E79"/>
    <w:rsid w:val="00DF6507"/>
    <w:rsid w:val="00DF776C"/>
    <w:rsid w:val="00E226BF"/>
    <w:rsid w:val="00E44DE6"/>
    <w:rsid w:val="00E61E31"/>
    <w:rsid w:val="00E66357"/>
    <w:rsid w:val="00E85013"/>
    <w:rsid w:val="00E94AF9"/>
    <w:rsid w:val="00EA1A77"/>
    <w:rsid w:val="00EB0337"/>
    <w:rsid w:val="00EB1E01"/>
    <w:rsid w:val="00EB27FA"/>
    <w:rsid w:val="00EB3610"/>
    <w:rsid w:val="00ED7443"/>
    <w:rsid w:val="00F1478B"/>
    <w:rsid w:val="00F15DA6"/>
    <w:rsid w:val="00F3009F"/>
    <w:rsid w:val="00F900A9"/>
    <w:rsid w:val="00F94895"/>
    <w:rsid w:val="00FC3F53"/>
    <w:rsid w:val="00FE2E81"/>
    <w:rsid w:val="00FF5549"/>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2C97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8B"/>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F15DA6"/>
    <w:pPr>
      <w:numPr>
        <w:numId w:val="14"/>
      </w:numPr>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 w:type="character" w:styleId="FollowedHyperlink">
    <w:name w:val="FollowedHyperlink"/>
    <w:basedOn w:val="DefaultParagraphFont"/>
    <w:uiPriority w:val="99"/>
    <w:semiHidden/>
    <w:unhideWhenUsed/>
    <w:rsid w:val="00C95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fo.org.uk/index.aspx?articleid=14464" TargetMode="External"/><Relationship Id="rId18" Type="http://schemas.openxmlformats.org/officeDocument/2006/relationships/hyperlink" Target="http://www.glasgow.gov.uk/councillorsandcommittees/submissiondocuments.asp?submissionid=871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sultation@pensions-intitute.org" TargetMode="External"/><Relationship Id="rId17" Type="http://schemas.openxmlformats.org/officeDocument/2006/relationships/hyperlink" Target="https://www.spfo.org.uk/index.aspx?articleid=20464"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pfo.org.uk/index.aspx?articleid=22913" TargetMode="External"/><Relationship Id="rId10" Type="http://schemas.openxmlformats.org/officeDocument/2006/relationships/hyperlink" Target="http://lgpsab.scot/consultation2018/" TargetMode="External"/><Relationship Id="rId19" Type="http://schemas.openxmlformats.org/officeDocument/2006/relationships/hyperlink" Target="https://www.spfo.org.uk/index.aspx?articleid=160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pfo.org.uk/index.aspx?articleid=1449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145D-BF4B-41B7-808C-55FE726B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5273</Words>
  <Characters>30062</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2018-11-14T18:12:00Z</dcterms:created>
  <dcterms:modified xsi:type="dcterms:W3CDTF">2018-11-14T18:12:00Z</dcterms:modified>
</cp:coreProperties>
</file>