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4B" w:rsidRPr="0094744B" w:rsidRDefault="0094744B" w:rsidP="0094744B">
      <w:pPr>
        <w:keepNext/>
        <w:keepLines/>
        <w:spacing w:after="0" w:line="240" w:lineRule="auto"/>
        <w:outlineLvl w:val="1"/>
        <w:rPr>
          <w:rFonts w:ascii="Arial" w:eastAsia="Times New Roman" w:hAnsi="Arial" w:cs="Times New Roman"/>
          <w:b/>
          <w:bCs/>
          <w:sz w:val="28"/>
          <w:szCs w:val="26"/>
        </w:rPr>
      </w:pPr>
      <w:r w:rsidRPr="0094744B">
        <w:rPr>
          <w:rFonts w:ascii="Arial" w:eastAsia="Times New Roman" w:hAnsi="Arial" w:cs="Times New Roman"/>
          <w:b/>
          <w:bCs/>
          <w:sz w:val="28"/>
          <w:szCs w:val="26"/>
        </w:rPr>
        <w:t>Review of the Structure of the Scottish Local Government Pension Scheme</w:t>
      </w:r>
    </w:p>
    <w:p w:rsidR="0094744B" w:rsidRPr="0094744B" w:rsidRDefault="0094744B" w:rsidP="0094744B">
      <w:pPr>
        <w:spacing w:after="240" w:line="240" w:lineRule="auto"/>
        <w:rPr>
          <w:rFonts w:ascii="Arial" w:eastAsia="Times New Roman" w:hAnsi="Arial" w:cs="Times New Roman"/>
          <w:b/>
          <w:sz w:val="24"/>
          <w:szCs w:val="20"/>
        </w:rPr>
      </w:pPr>
      <w:r w:rsidRPr="0094744B">
        <w:rPr>
          <w:rFonts w:ascii="Arial" w:eastAsia="Times New Roman" w:hAnsi="Arial" w:cs="Times New Roman"/>
          <w:b/>
          <w:sz w:val="24"/>
          <w:szCs w:val="20"/>
        </w:rPr>
        <w:t>CONSULTATION RESPONSE FORM</w:t>
      </w:r>
    </w:p>
    <w:tbl>
      <w:tblPr>
        <w:tblW w:w="9320" w:type="dxa"/>
        <w:tblInd w:w="8" w:type="dxa"/>
        <w:tblBorders>
          <w:insideH w:val="single" w:sz="4" w:space="0" w:color="auto"/>
          <w:insideV w:val="single" w:sz="4" w:space="0" w:color="auto"/>
        </w:tblBorders>
        <w:shd w:val="clear" w:color="auto" w:fill="D9D9D9"/>
        <w:tblLook w:val="0000" w:firstRow="0" w:lastRow="0" w:firstColumn="0" w:lastColumn="0" w:noHBand="0" w:noVBand="0"/>
      </w:tblPr>
      <w:tblGrid>
        <w:gridCol w:w="9320"/>
      </w:tblGrid>
      <w:tr w:rsidR="0094744B" w:rsidRPr="0094744B" w:rsidTr="003F6388">
        <w:trPr>
          <w:trHeight w:val="3300"/>
        </w:trPr>
        <w:tc>
          <w:tcPr>
            <w:tcW w:w="9320" w:type="dxa"/>
            <w:shd w:val="clear" w:color="auto" w:fill="D9D9D9"/>
          </w:tcPr>
          <w:p w:rsidR="0094744B" w:rsidRPr="0094744B" w:rsidRDefault="0094744B" w:rsidP="0094744B">
            <w:pPr>
              <w:spacing w:after="0" w:line="240" w:lineRule="auto"/>
              <w:ind w:left="102"/>
              <w:rPr>
                <w:rFonts w:ascii="Arial" w:eastAsia="Times New Roman" w:hAnsi="Arial" w:cs="Times New Roman"/>
                <w:b/>
                <w:sz w:val="23"/>
                <w:szCs w:val="20"/>
              </w:rPr>
            </w:pPr>
          </w:p>
          <w:p w:rsidR="0094744B" w:rsidRPr="0094744B" w:rsidRDefault="0094744B" w:rsidP="0094744B">
            <w:pPr>
              <w:spacing w:after="240" w:line="240" w:lineRule="auto"/>
              <w:ind w:left="100"/>
              <w:rPr>
                <w:rFonts w:ascii="Arial" w:eastAsia="Times New Roman" w:hAnsi="Arial" w:cs="Times New Roman"/>
                <w:sz w:val="23"/>
                <w:szCs w:val="20"/>
              </w:rPr>
            </w:pPr>
            <w:r w:rsidRPr="0094744B">
              <w:rPr>
                <w:rFonts w:ascii="Arial" w:eastAsia="Times New Roman" w:hAnsi="Arial" w:cs="Times New Roman"/>
                <w:b/>
                <w:sz w:val="23"/>
                <w:szCs w:val="20"/>
              </w:rPr>
              <w:t>Instructions</w:t>
            </w:r>
            <w:r w:rsidRPr="0094744B">
              <w:rPr>
                <w:rFonts w:ascii="Arial" w:eastAsia="Times New Roman" w:hAnsi="Arial" w:cs="Times New Roman"/>
                <w:b/>
                <w:sz w:val="23"/>
                <w:szCs w:val="20"/>
              </w:rPr>
              <w:br/>
            </w:r>
            <w:r w:rsidRPr="0094744B">
              <w:rPr>
                <w:rFonts w:ascii="Arial" w:eastAsia="Times New Roman" w:hAnsi="Arial" w:cs="Times New Roman"/>
                <w:sz w:val="23"/>
                <w:szCs w:val="20"/>
              </w:rPr>
              <w:t xml:space="preserve">Responses in this form </w:t>
            </w:r>
            <w:proofErr w:type="gramStart"/>
            <w:r w:rsidRPr="0094744B">
              <w:rPr>
                <w:rFonts w:ascii="Arial" w:eastAsia="Times New Roman" w:hAnsi="Arial" w:cs="Times New Roman"/>
                <w:sz w:val="23"/>
                <w:szCs w:val="20"/>
              </w:rPr>
              <w:t>should be drafted</w:t>
            </w:r>
            <w:proofErr w:type="gramEnd"/>
            <w:r w:rsidRPr="0094744B">
              <w:rPr>
                <w:rFonts w:ascii="Arial" w:eastAsia="Times New Roman" w:hAnsi="Arial" w:cs="Times New Roman"/>
                <w:sz w:val="23"/>
                <w:szCs w:val="20"/>
              </w:rPr>
              <w:t xml:space="preserve"> in conjunction with the accompanying consultation report.  To respond, please complete the </w:t>
            </w:r>
            <w:r w:rsidRPr="0094744B">
              <w:rPr>
                <w:rFonts w:ascii="Arial" w:eastAsia="Times New Roman" w:hAnsi="Arial" w:cs="Times New Roman"/>
                <w:b/>
                <w:sz w:val="23"/>
                <w:szCs w:val="20"/>
              </w:rPr>
              <w:t>respondent details</w:t>
            </w:r>
            <w:r w:rsidRPr="0094744B">
              <w:rPr>
                <w:rFonts w:ascii="Arial" w:eastAsia="Times New Roman" w:hAnsi="Arial" w:cs="Times New Roman"/>
                <w:sz w:val="23"/>
                <w:szCs w:val="20"/>
              </w:rPr>
              <w:t xml:space="preserve"> and as many of the </w:t>
            </w:r>
            <w:proofErr w:type="gramStart"/>
            <w:r w:rsidRPr="0094744B">
              <w:rPr>
                <w:rFonts w:ascii="Arial" w:eastAsia="Times New Roman" w:hAnsi="Arial" w:cs="Times New Roman"/>
                <w:b/>
                <w:sz w:val="23"/>
                <w:szCs w:val="20"/>
              </w:rPr>
              <w:t>consultation</w:t>
            </w:r>
            <w:proofErr w:type="gramEnd"/>
            <w:r w:rsidRPr="0094744B">
              <w:rPr>
                <w:rFonts w:ascii="Arial" w:eastAsia="Times New Roman" w:hAnsi="Arial" w:cs="Times New Roman"/>
                <w:b/>
                <w:sz w:val="23"/>
                <w:szCs w:val="20"/>
              </w:rPr>
              <w:t xml:space="preserve"> questions</w:t>
            </w:r>
            <w:r w:rsidRPr="0094744B">
              <w:rPr>
                <w:rFonts w:ascii="Arial" w:eastAsia="Times New Roman" w:hAnsi="Arial" w:cs="Times New Roman"/>
                <w:sz w:val="23"/>
                <w:szCs w:val="20"/>
              </w:rPr>
              <w:t xml:space="preserve"> your organisation wishes to complete and return the form via email to the Pensions Institute at </w:t>
            </w:r>
            <w:hyperlink r:id="rId5" w:history="1">
              <w:r w:rsidRPr="0094744B">
                <w:rPr>
                  <w:rFonts w:ascii="Arial" w:eastAsia="Times New Roman" w:hAnsi="Arial" w:cs="Times New Roman"/>
                  <w:color w:val="0563C1"/>
                  <w:sz w:val="23"/>
                  <w:szCs w:val="20"/>
                  <w:u w:val="single"/>
                </w:rPr>
                <w:t>consultation@pensions-intitute.org</w:t>
              </w:r>
            </w:hyperlink>
            <w:r w:rsidRPr="0094744B">
              <w:rPr>
                <w:rFonts w:ascii="Arial" w:eastAsia="Times New Roman" w:hAnsi="Arial" w:cs="Times New Roman"/>
                <w:sz w:val="23"/>
                <w:szCs w:val="20"/>
              </w:rPr>
              <w:t xml:space="preserve"> no later than </w:t>
            </w:r>
            <w:r w:rsidRPr="0094744B">
              <w:rPr>
                <w:rFonts w:ascii="Arial" w:eastAsia="Times New Roman" w:hAnsi="Arial" w:cs="Times New Roman"/>
                <w:b/>
                <w:sz w:val="23"/>
                <w:szCs w:val="20"/>
              </w:rPr>
              <w:t>Friday, 7 December 2018</w:t>
            </w:r>
            <w:r w:rsidRPr="0094744B">
              <w:rPr>
                <w:rFonts w:ascii="Arial" w:eastAsia="Times New Roman" w:hAnsi="Arial" w:cs="Times New Roman"/>
                <w:sz w:val="23"/>
                <w:szCs w:val="20"/>
              </w:rPr>
              <w:t>.</w:t>
            </w:r>
          </w:p>
          <w:p w:rsidR="0094744B" w:rsidRPr="0094744B" w:rsidRDefault="0094744B" w:rsidP="0094744B">
            <w:pPr>
              <w:spacing w:after="240" w:line="240" w:lineRule="auto"/>
              <w:ind w:left="100"/>
              <w:rPr>
                <w:rFonts w:ascii="Arial" w:eastAsia="Times New Roman" w:hAnsi="Arial" w:cs="Times New Roman"/>
                <w:b/>
                <w:sz w:val="23"/>
                <w:szCs w:val="20"/>
              </w:rPr>
            </w:pPr>
            <w:r w:rsidRPr="0094744B">
              <w:rPr>
                <w:rFonts w:ascii="Arial" w:eastAsia="Times New Roman" w:hAnsi="Arial" w:cs="Times New Roman"/>
                <w:sz w:val="23"/>
                <w:szCs w:val="20"/>
              </w:rPr>
              <w:t xml:space="preserve">This consultation </w:t>
            </w:r>
            <w:proofErr w:type="gramStart"/>
            <w:r w:rsidRPr="0094744B">
              <w:rPr>
                <w:rFonts w:ascii="Arial" w:eastAsia="Times New Roman" w:hAnsi="Arial" w:cs="Times New Roman"/>
                <w:sz w:val="23"/>
                <w:szCs w:val="20"/>
              </w:rPr>
              <w:t>is being conducted</w:t>
            </w:r>
            <w:proofErr w:type="gramEnd"/>
            <w:r w:rsidRPr="0094744B">
              <w:rPr>
                <w:rFonts w:ascii="Arial" w:eastAsia="Times New Roman" w:hAnsi="Arial" w:cs="Times New Roman"/>
                <w:sz w:val="23"/>
                <w:szCs w:val="20"/>
              </w:rPr>
              <w:t xml:space="preserve"> in electronic form only, so </w:t>
            </w:r>
            <w:r w:rsidRPr="0094744B">
              <w:rPr>
                <w:rFonts w:ascii="Arial" w:eastAsia="Times New Roman" w:hAnsi="Arial" w:cs="Times New Roman"/>
                <w:b/>
                <w:sz w:val="23"/>
                <w:szCs w:val="20"/>
              </w:rPr>
              <w:t>responses must be emailed</w:t>
            </w:r>
            <w:r w:rsidRPr="0094744B">
              <w:rPr>
                <w:rFonts w:ascii="Arial" w:eastAsia="Times New Roman" w:hAnsi="Arial" w:cs="Times New Roman"/>
                <w:sz w:val="23"/>
                <w:szCs w:val="20"/>
              </w:rPr>
              <w:t xml:space="preserve">; hard copy posted or delivered responses cannot be received. Any queries about the consultation </w:t>
            </w:r>
            <w:proofErr w:type="gramStart"/>
            <w:r w:rsidRPr="0094744B">
              <w:rPr>
                <w:rFonts w:ascii="Arial" w:eastAsia="Times New Roman" w:hAnsi="Arial" w:cs="Times New Roman"/>
                <w:sz w:val="23"/>
                <w:szCs w:val="20"/>
              </w:rPr>
              <w:t>should be addressed</w:t>
            </w:r>
            <w:proofErr w:type="gramEnd"/>
            <w:r w:rsidRPr="0094744B">
              <w:rPr>
                <w:rFonts w:ascii="Arial" w:eastAsia="Times New Roman" w:hAnsi="Arial" w:cs="Times New Roman"/>
                <w:sz w:val="23"/>
                <w:szCs w:val="20"/>
              </w:rPr>
              <w:t xml:space="preserve"> to Matthew Roy, Fellow, Pensions Institute at matthew.roy@pensions-institute.org. </w:t>
            </w:r>
          </w:p>
        </w:tc>
      </w:tr>
    </w:tbl>
    <w:p w:rsidR="0094744B" w:rsidRPr="0094744B" w:rsidRDefault="0094744B" w:rsidP="0094744B">
      <w:pPr>
        <w:spacing w:after="240" w:line="240" w:lineRule="auto"/>
        <w:rPr>
          <w:rFonts w:ascii="Arial" w:eastAsia="Times New Roman" w:hAnsi="Arial" w:cs="Times New Roman"/>
          <w:b/>
          <w:sz w:val="23"/>
          <w:szCs w:val="20"/>
        </w:rPr>
      </w:pPr>
    </w:p>
    <w:p w:rsidR="0094744B" w:rsidRPr="0094744B" w:rsidRDefault="0094744B" w:rsidP="0094744B">
      <w:pPr>
        <w:spacing w:after="240" w:line="240" w:lineRule="auto"/>
        <w:rPr>
          <w:rFonts w:ascii="Arial" w:eastAsia="Times New Roman" w:hAnsi="Arial" w:cs="Times New Roman"/>
          <w:b/>
          <w:sz w:val="23"/>
          <w:szCs w:val="20"/>
        </w:rPr>
      </w:pPr>
      <w:r w:rsidRPr="0094744B">
        <w:rPr>
          <w:rFonts w:ascii="Arial" w:eastAsia="Times New Roman" w:hAnsi="Arial" w:cs="Times New Roman"/>
          <w:b/>
          <w:sz w:val="23"/>
          <w:szCs w:val="20"/>
        </w:rPr>
        <w:t>RESPONDENT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2802"/>
      </w:tblGrid>
      <w:tr w:rsidR="0094744B" w:rsidRPr="0094744B" w:rsidTr="003F6388">
        <w:trPr>
          <w:trHeight w:val="1892"/>
        </w:trPr>
        <w:tc>
          <w:tcPr>
            <w:tcW w:w="634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Name of responding organisation(s</w:t>
            </w:r>
            <w:proofErr w:type="gramStart"/>
            <w:r w:rsidRPr="0094744B">
              <w:rPr>
                <w:rFonts w:ascii="Arial" w:eastAsia="Calibri" w:hAnsi="Arial" w:cs="Times New Roman"/>
                <w:b/>
                <w:sz w:val="23"/>
              </w:rPr>
              <w:t>)</w:t>
            </w:r>
            <w:proofErr w:type="gramEnd"/>
            <w:r w:rsidRPr="0094744B">
              <w:rPr>
                <w:rFonts w:ascii="Arial" w:eastAsia="Calibri" w:hAnsi="Arial" w:cs="Times New Roman"/>
                <w:b/>
                <w:sz w:val="23"/>
              </w:rPr>
              <w:br/>
            </w:r>
            <w:r w:rsidRPr="0094744B">
              <w:rPr>
                <w:rFonts w:ascii="Arial" w:eastAsia="Calibri" w:hAnsi="Arial" w:cs="Times New Roman"/>
                <w:sz w:val="23"/>
              </w:rPr>
              <w:t>Please list the full name of each organisation</w:t>
            </w:r>
            <w:r w:rsidRPr="0094744B">
              <w:rPr>
                <w:rFonts w:ascii="Arial" w:eastAsia="Calibri" w:hAnsi="Arial" w:cs="Times New Roman"/>
                <w:sz w:val="23"/>
              </w:rPr>
              <w:br/>
              <w:t>participating in this response.</w:t>
            </w:r>
          </w:p>
        </w:tc>
        <w:tc>
          <w:tcPr>
            <w:tcW w:w="2835" w:type="dxa"/>
            <w:tcBorders>
              <w:top w:val="nil"/>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Organisation type</w:t>
            </w:r>
            <w:r w:rsidRPr="0094744B">
              <w:rPr>
                <w:rFonts w:ascii="Arial" w:eastAsia="Calibri" w:hAnsi="Arial" w:cs="Times New Roman"/>
                <w:sz w:val="23"/>
              </w:rPr>
              <w:br/>
              <w:t xml:space="preserve">Is your organisation an administering authority, employer, or employee </w:t>
            </w:r>
            <w:proofErr w:type="gramStart"/>
            <w:r w:rsidRPr="0094744B">
              <w:rPr>
                <w:rFonts w:ascii="Arial" w:eastAsia="Calibri" w:hAnsi="Arial" w:cs="Times New Roman"/>
                <w:sz w:val="23"/>
              </w:rPr>
              <w:t>group?</w:t>
            </w:r>
            <w:proofErr w:type="gramEnd"/>
            <w:r w:rsidRPr="0094744B">
              <w:rPr>
                <w:rFonts w:ascii="Arial" w:eastAsia="Calibri" w:hAnsi="Arial" w:cs="Times New Roman"/>
                <w:sz w:val="23"/>
              </w:rPr>
              <w:t xml:space="preserve"> Please record for each responding organisation.</w:t>
            </w:r>
          </w:p>
        </w:tc>
      </w:tr>
      <w:tr w:rsidR="0094744B" w:rsidRPr="0094744B" w:rsidTr="003F6388">
        <w:tc>
          <w:tcPr>
            <w:tcW w:w="6345" w:type="dxa"/>
            <w:tcBorders>
              <w:bottom w:val="single" w:sz="4" w:space="0" w:color="auto"/>
            </w:tcBorders>
            <w:shd w:val="clear" w:color="auto" w:fill="auto"/>
          </w:tcPr>
          <w:p w:rsidR="0094744B" w:rsidRPr="0094744B" w:rsidRDefault="004D5B0F" w:rsidP="0094744B">
            <w:pPr>
              <w:spacing w:after="240" w:line="240" w:lineRule="auto"/>
              <w:rPr>
                <w:rFonts w:ascii="Arial" w:eastAsia="Calibri" w:hAnsi="Arial" w:cs="Times New Roman"/>
                <w:color w:val="000000" w:themeColor="text1"/>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p>
        </w:tc>
        <w:tc>
          <w:tcPr>
            <w:tcW w:w="2835" w:type="dxa"/>
            <w:tcBorders>
              <w:bottom w:val="single" w:sz="4" w:space="0" w:color="auto"/>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r w:rsidRPr="0094744B">
              <w:rPr>
                <w:rFonts w:ascii="Arial" w:eastAsia="Calibri" w:hAnsi="Arial" w:cs="Times New Roman"/>
                <w:sz w:val="23"/>
              </w:rPr>
              <w:t>Participating Employer of Tayside Pension Fund</w:t>
            </w:r>
          </w:p>
        </w:tc>
      </w:tr>
      <w:tr w:rsidR="0094744B" w:rsidRPr="0094744B" w:rsidTr="003F6388">
        <w:tc>
          <w:tcPr>
            <w:tcW w:w="634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Authors</w:t>
            </w:r>
            <w:r w:rsidRPr="0094744B">
              <w:rPr>
                <w:rFonts w:ascii="Arial" w:eastAsia="Calibri" w:hAnsi="Arial" w:cs="Times New Roman"/>
                <w:b/>
                <w:sz w:val="23"/>
              </w:rPr>
              <w:br/>
            </w:r>
            <w:r w:rsidRPr="0094744B">
              <w:rPr>
                <w:rFonts w:ascii="Arial" w:eastAsia="Calibri" w:hAnsi="Arial" w:cs="Times New Roman"/>
                <w:sz w:val="23"/>
              </w:rPr>
              <w:t xml:space="preserve">Please list any people that wish to </w:t>
            </w:r>
            <w:proofErr w:type="gramStart"/>
            <w:r w:rsidRPr="0094744B">
              <w:rPr>
                <w:rFonts w:ascii="Arial" w:eastAsia="Calibri" w:hAnsi="Arial" w:cs="Times New Roman"/>
                <w:sz w:val="23"/>
              </w:rPr>
              <w:t>be recorded</w:t>
            </w:r>
            <w:proofErr w:type="gramEnd"/>
            <w:r w:rsidRPr="0094744B">
              <w:rPr>
                <w:rFonts w:ascii="Arial" w:eastAsia="Calibri" w:hAnsi="Arial" w:cs="Times New Roman"/>
                <w:sz w:val="23"/>
              </w:rPr>
              <w:t xml:space="preserve"> as authors of this response, including name, job title and organisation.</w:t>
            </w:r>
          </w:p>
        </w:tc>
        <w:tc>
          <w:tcPr>
            <w:tcW w:w="2835" w:type="dxa"/>
            <w:tcBorders>
              <w:top w:val="single" w:sz="4" w:space="0" w:color="auto"/>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b/>
                <w:sz w:val="23"/>
              </w:rPr>
            </w:pPr>
            <w:r w:rsidRPr="0094744B">
              <w:rPr>
                <w:rFonts w:ascii="Arial" w:eastAsia="Calibri" w:hAnsi="Arial" w:cs="Times New Roman"/>
                <w:b/>
                <w:sz w:val="23"/>
              </w:rPr>
              <w:t>Consent</w:t>
            </w:r>
            <w:r w:rsidRPr="0094744B">
              <w:rPr>
                <w:rFonts w:ascii="Arial" w:eastAsia="Calibri" w:hAnsi="Arial" w:cs="Times New Roman"/>
                <w:b/>
                <w:sz w:val="23"/>
              </w:rPr>
              <w:br/>
            </w:r>
            <w:r w:rsidRPr="0094744B">
              <w:rPr>
                <w:rFonts w:ascii="Arial" w:eastAsia="Calibri" w:hAnsi="Arial" w:cs="Times New Roman"/>
                <w:sz w:val="23"/>
              </w:rPr>
              <w:t>Please confirm each author consents to their information being retained for analysing the consultation responses by writing ‘confirm’ by their name.</w:t>
            </w:r>
          </w:p>
        </w:tc>
      </w:tr>
      <w:tr w:rsidR="0094744B" w:rsidRPr="0094744B" w:rsidTr="003F6388">
        <w:tc>
          <w:tcPr>
            <w:tcW w:w="6345" w:type="dxa"/>
            <w:tcBorders>
              <w:bottom w:val="single" w:sz="4" w:space="0" w:color="auto"/>
            </w:tcBorders>
            <w:shd w:val="clear" w:color="auto" w:fill="auto"/>
          </w:tcPr>
          <w:p w:rsidR="0094744B" w:rsidRPr="0094744B" w:rsidRDefault="004D5B0F" w:rsidP="0094744B">
            <w:pPr>
              <w:spacing w:after="240" w:line="240" w:lineRule="auto"/>
              <w:rPr>
                <w:rFonts w:ascii="Arial" w:eastAsia="Calibri" w:hAnsi="Arial" w:cs="Times New Roman"/>
                <w:sz w:val="23"/>
              </w:rPr>
            </w:pPr>
            <w:r>
              <w:rPr>
                <w:rFonts w:ascii="Arial" w:eastAsia="Calibri" w:hAnsi="Arial" w:cs="Times New Roman"/>
                <w:sz w:val="23"/>
              </w:rPr>
              <w:t xml:space="preserve">David Reeves, Director of Finance, </w:t>
            </w:r>
            <w:proofErr w:type="spellStart"/>
            <w:r>
              <w:rPr>
                <w:rFonts w:ascii="Arial" w:eastAsia="Calibri" w:hAnsi="Arial" w:cs="Times New Roman"/>
                <w:sz w:val="23"/>
              </w:rPr>
              <w:t>Abertay</w:t>
            </w:r>
            <w:proofErr w:type="spellEnd"/>
            <w:r>
              <w:rPr>
                <w:rFonts w:ascii="Arial" w:eastAsia="Calibri" w:hAnsi="Arial" w:cs="Times New Roman"/>
                <w:sz w:val="23"/>
              </w:rPr>
              <w:t xml:space="preserve"> University</w:t>
            </w:r>
          </w:p>
        </w:tc>
        <w:tc>
          <w:tcPr>
            <w:tcW w:w="2835" w:type="dxa"/>
            <w:tcBorders>
              <w:bottom w:val="single" w:sz="4" w:space="0" w:color="auto"/>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confirm</w:t>
            </w:r>
          </w:p>
        </w:tc>
      </w:tr>
      <w:tr w:rsidR="0094744B" w:rsidRPr="0094744B" w:rsidTr="003F6388">
        <w:tc>
          <w:tcPr>
            <w:tcW w:w="6345" w:type="dxa"/>
            <w:tcBorders>
              <w:left w:val="nil"/>
              <w:bottom w:val="nil"/>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c>
          <w:tcPr>
            <w:tcW w:w="2835" w:type="dxa"/>
            <w:tcBorders>
              <w:left w:val="nil"/>
              <w:bottom w:val="single" w:sz="4" w:space="0" w:color="auto"/>
              <w:right w:val="nil"/>
            </w:tcBorders>
            <w:shd w:val="clear" w:color="auto" w:fill="auto"/>
          </w:tcPr>
          <w:p w:rsidR="0094744B" w:rsidRPr="0094744B" w:rsidRDefault="0094744B" w:rsidP="0094744B">
            <w:pPr>
              <w:spacing w:after="240" w:line="240" w:lineRule="auto"/>
              <w:rPr>
                <w:rFonts w:ascii="Arial" w:eastAsia="Calibri" w:hAnsi="Arial" w:cs="Times New Roman"/>
                <w:color w:val="BFBFBF"/>
                <w:sz w:val="23"/>
              </w:rPr>
            </w:pPr>
          </w:p>
        </w:tc>
      </w:tr>
      <w:tr w:rsidR="0094744B" w:rsidRPr="0094744B" w:rsidTr="003F6388">
        <w:tc>
          <w:tcPr>
            <w:tcW w:w="6345" w:type="dxa"/>
            <w:tcBorders>
              <w:top w:val="nil"/>
              <w:left w:val="nil"/>
              <w:bottom w:val="nil"/>
            </w:tcBorders>
            <w:shd w:val="clear" w:color="auto" w:fill="auto"/>
          </w:tcPr>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Date</w:t>
            </w:r>
            <w:r w:rsidRPr="0094744B">
              <w:rPr>
                <w:rFonts w:ascii="Arial" w:eastAsia="Calibri" w:hAnsi="Arial" w:cs="Times New Roman"/>
                <w:sz w:val="23"/>
              </w:rPr>
              <w:br/>
              <w:t>Please date the response.</w:t>
            </w:r>
          </w:p>
        </w:tc>
        <w:tc>
          <w:tcPr>
            <w:tcW w:w="2835" w:type="dxa"/>
            <w:tcBorders>
              <w:top w:val="single" w:sz="4" w:space="0" w:color="auto"/>
              <w:bottom w:val="single" w:sz="4" w:space="0" w:color="auto"/>
            </w:tcBorders>
            <w:shd w:val="clear" w:color="auto" w:fill="auto"/>
          </w:tcPr>
          <w:p w:rsidR="0094744B" w:rsidRPr="0094744B" w:rsidRDefault="004D5B0F" w:rsidP="0094744B">
            <w:pPr>
              <w:spacing w:after="240" w:line="240" w:lineRule="auto"/>
              <w:rPr>
                <w:rFonts w:ascii="Arial" w:eastAsia="Calibri" w:hAnsi="Arial" w:cs="Times New Roman"/>
                <w:sz w:val="23"/>
              </w:rPr>
            </w:pPr>
            <w:r>
              <w:rPr>
                <w:rFonts w:ascii="Arial" w:eastAsia="Calibri" w:hAnsi="Arial" w:cs="Times New Roman"/>
                <w:color w:val="BFBFBF"/>
                <w:sz w:val="23"/>
              </w:rPr>
              <w:t>29/11/18</w:t>
            </w:r>
          </w:p>
        </w:tc>
      </w:tr>
    </w:tbl>
    <w:p w:rsidR="0094744B" w:rsidRPr="0094744B" w:rsidRDefault="0094744B" w:rsidP="0094744B">
      <w:pPr>
        <w:spacing w:after="240" w:line="240" w:lineRule="auto"/>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180"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b/>
                <w:sz w:val="23"/>
              </w:rPr>
              <w:t>Covering information</w:t>
            </w:r>
            <w:r w:rsidRPr="0094744B">
              <w:rPr>
                <w:rFonts w:ascii="Arial" w:eastAsia="Calibri" w:hAnsi="Arial" w:cs="Times New Roman"/>
                <w:sz w:val="23"/>
              </w:rPr>
              <w:br/>
              <w:t>If you wish to include covering information with your response, please include the text here. The text can wrap onto additional pages if needed.</w:t>
            </w:r>
          </w:p>
        </w:tc>
      </w:tr>
      <w:tr w:rsidR="0094744B" w:rsidRPr="0094744B" w:rsidTr="003F6388">
        <w:tc>
          <w:tcPr>
            <w:tcW w:w="9180" w:type="dxa"/>
            <w:shd w:val="clear" w:color="auto" w:fill="auto"/>
          </w:tcPr>
          <w:p w:rsidR="0094744B" w:rsidRPr="0094744B" w:rsidRDefault="004D5B0F" w:rsidP="0094744B">
            <w:pPr>
              <w:spacing w:after="240" w:line="240" w:lineRule="auto"/>
              <w:rPr>
                <w:rFonts w:ascii="Arial" w:eastAsia="Calibri" w:hAnsi="Arial" w:cs="Times New Roman"/>
                <w:sz w:val="23"/>
              </w:rPr>
            </w:pPr>
            <w:proofErr w:type="spellStart"/>
            <w:r>
              <w:rPr>
                <w:rFonts w:ascii="Arial" w:eastAsia="Calibri" w:hAnsi="Arial" w:cs="Times New Roman"/>
                <w:sz w:val="23"/>
              </w:rPr>
              <w:t>Abertay</w:t>
            </w:r>
            <w:proofErr w:type="spellEnd"/>
            <w:r>
              <w:rPr>
                <w:rFonts w:ascii="Arial" w:eastAsia="Calibri" w:hAnsi="Arial" w:cs="Times New Roman"/>
                <w:sz w:val="23"/>
              </w:rPr>
              <w:t xml:space="preserve"> University</w:t>
            </w:r>
            <w:r w:rsidR="0094744B">
              <w:rPr>
                <w:rFonts w:ascii="Arial" w:eastAsia="Calibri" w:hAnsi="Arial" w:cs="Times New Roman"/>
                <w:color w:val="000000" w:themeColor="text1"/>
                <w:sz w:val="23"/>
              </w:rPr>
              <w:t xml:space="preserve"> is</w:t>
            </w:r>
            <w:r w:rsidR="0094744B">
              <w:rPr>
                <w:rFonts w:ascii="Arial" w:eastAsia="Calibri" w:hAnsi="Arial" w:cs="Times New Roman"/>
                <w:sz w:val="23"/>
              </w:rPr>
              <w:t xml:space="preserve"> </w:t>
            </w:r>
            <w:r w:rsidR="0094744B" w:rsidRPr="0094744B">
              <w:rPr>
                <w:rFonts w:ascii="Arial" w:eastAsia="Calibri" w:hAnsi="Arial" w:cs="Times New Roman"/>
                <w:sz w:val="23"/>
              </w:rPr>
              <w:t xml:space="preserve">a participating employer of Tayside Pension Fund.  </w:t>
            </w:r>
          </w:p>
          <w:p w:rsidR="0094744B" w:rsidRPr="0094744B" w:rsidRDefault="0094744B" w:rsidP="0094744B">
            <w:pPr>
              <w:spacing w:after="240" w:line="240" w:lineRule="auto"/>
              <w:rPr>
                <w:rFonts w:ascii="Arial" w:eastAsia="Calibri" w:hAnsi="Arial" w:cs="Times New Roman"/>
                <w:sz w:val="23"/>
              </w:rPr>
            </w:pPr>
          </w:p>
          <w:p w:rsidR="0094744B" w:rsidRPr="0094744B" w:rsidRDefault="0094744B" w:rsidP="0094744B">
            <w:pPr>
              <w:spacing w:after="240" w:line="240" w:lineRule="auto"/>
              <w:rPr>
                <w:rFonts w:ascii="Arial" w:eastAsia="Calibri" w:hAnsi="Arial" w:cs="Times New Roman"/>
                <w:sz w:val="23"/>
              </w:rPr>
            </w:pPr>
          </w:p>
        </w:tc>
      </w:tr>
    </w:tbl>
    <w:p w:rsidR="0094744B" w:rsidRPr="0094744B" w:rsidRDefault="0094744B" w:rsidP="0094744B">
      <w:pPr>
        <w:spacing w:after="240" w:line="240" w:lineRule="auto"/>
        <w:rPr>
          <w:rFonts w:ascii="Arial" w:eastAsia="Times New Roman" w:hAnsi="Arial" w:cs="Times New Roman"/>
          <w:sz w:val="23"/>
          <w:szCs w:val="20"/>
        </w:rPr>
      </w:pPr>
    </w:p>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t>The consultation questions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243" w:type="dxa"/>
            <w:tcBorders>
              <w:top w:val="nil"/>
              <w:left w:val="nil"/>
              <w:right w:val="nil"/>
            </w:tcBorders>
            <w:shd w:val="clear" w:color="auto" w:fill="auto"/>
          </w:tcPr>
          <w:p w:rsidR="0094744B" w:rsidRPr="0094744B" w:rsidRDefault="0094744B" w:rsidP="0094744B">
            <w:pPr>
              <w:spacing w:after="240" w:line="240" w:lineRule="auto"/>
              <w:rPr>
                <w:rFonts w:ascii="Arial" w:eastAsia="Calibri" w:hAnsi="Arial" w:cs="Times New Roman"/>
                <w:b/>
                <w:sz w:val="24"/>
              </w:rPr>
            </w:pPr>
            <w:r w:rsidRPr="0094744B">
              <w:rPr>
                <w:rFonts w:ascii="Arial" w:eastAsia="Calibri" w:hAnsi="Arial" w:cs="Times New Roman"/>
                <w:sz w:val="23"/>
              </w:rPr>
              <w:br w:type="page"/>
            </w:r>
            <w:r w:rsidRPr="0094744B">
              <w:rPr>
                <w:rFonts w:ascii="Arial" w:eastAsia="Calibri" w:hAnsi="Arial" w:cs="Times New Roman"/>
                <w:b/>
                <w:sz w:val="24"/>
              </w:rPr>
              <w:t>CONSULTATION QUESTIONS</w:t>
            </w:r>
          </w:p>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1: Retain the current structure with 11 funds</w:t>
            </w:r>
          </w:p>
          <w:p w:rsidR="0094744B" w:rsidRPr="0094744B" w:rsidRDefault="0094744B" w:rsidP="0094744B">
            <w:pPr>
              <w:keepNext/>
              <w:keepLines/>
              <w:spacing w:after="240" w:line="240" w:lineRule="auto"/>
              <w:outlineLvl w:val="1"/>
              <w:rPr>
                <w:rFonts w:ascii="Arial" w:eastAsia="Calibri" w:hAnsi="Arial" w:cs="Times New Roman"/>
                <w:b/>
                <w:bCs/>
                <w:sz w:val="28"/>
                <w:szCs w:val="26"/>
              </w:rPr>
            </w:pPr>
            <w:r w:rsidRPr="0094744B">
              <w:rPr>
                <w:rFonts w:ascii="Arial" w:eastAsia="Calibri" w:hAnsi="Arial" w:cs="Times New Roman"/>
                <w:sz w:val="23"/>
              </w:rPr>
              <w:t>The text can wrap onto additional pages.</w:t>
            </w:r>
          </w:p>
        </w:tc>
      </w:tr>
      <w:tr w:rsidR="0094744B" w:rsidRPr="0094744B" w:rsidTr="003F6388">
        <w:tc>
          <w:tcPr>
            <w:tcW w:w="9243" w:type="dxa"/>
            <w:shd w:val="clear" w:color="auto" w:fill="auto"/>
          </w:tcPr>
          <w:p w:rsidR="0094744B" w:rsidRPr="0094744B" w:rsidRDefault="0094744B" w:rsidP="0094744B">
            <w:pPr>
              <w:numPr>
                <w:ilvl w:val="0"/>
                <w:numId w:val="4"/>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proofErr w:type="gramStart"/>
            <w:r w:rsidRPr="0094744B">
              <w:rPr>
                <w:rFonts w:ascii="Arial" w:eastAsia="Calibri" w:hAnsi="Arial" w:cs="Times New Roman"/>
                <w:i/>
                <w:sz w:val="23"/>
                <w:lang w:val="en-US"/>
              </w:rPr>
              <w:t>How well informed do you feel about the investment costs in your fund?</w:t>
            </w:r>
            <w:proofErr w:type="gramEnd"/>
            <w:r w:rsidRPr="0094744B">
              <w:rPr>
                <w:rFonts w:ascii="Arial" w:eastAsia="Calibri" w:hAnsi="Arial" w:cs="Times New Roman"/>
                <w:i/>
                <w:sz w:val="23"/>
                <w:lang w:val="en-US"/>
              </w:rPr>
              <w:t xml:space="preserve"> What information do you rely on to specify and measure these?</w:t>
            </w:r>
          </w:p>
          <w:p w:rsidR="0094744B" w:rsidRPr="0094744B" w:rsidRDefault="0094744B" w:rsidP="0094744B">
            <w:pPr>
              <w:pStyle w:val="ListParagraph"/>
              <w:numPr>
                <w:ilvl w:val="0"/>
                <w:numId w:val="11"/>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Perhaps an easy measure for any employer to assess the costs </w:t>
            </w:r>
            <w:proofErr w:type="gramStart"/>
            <w:r w:rsidRPr="0094744B">
              <w:rPr>
                <w:rFonts w:ascii="Arial" w:eastAsia="Calibri" w:hAnsi="Arial" w:cs="Times New Roman"/>
                <w:sz w:val="23"/>
                <w:lang w:val="en-US"/>
              </w:rPr>
              <w:t>being incurred</w:t>
            </w:r>
            <w:proofErr w:type="gramEnd"/>
            <w:r w:rsidRPr="0094744B">
              <w:rPr>
                <w:rFonts w:ascii="Arial" w:eastAsia="Calibri" w:hAnsi="Arial" w:cs="Times New Roman"/>
                <w:sz w:val="23"/>
                <w:lang w:val="en-US"/>
              </w:rPr>
              <w:t xml:space="preserve"> within the fund is that of the level of contribution they are being asked to pay as if this is low, then they can be reassured that both returns are adequate and costs are controlled.  To this,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is comfortable with having the </w:t>
            </w:r>
            <w:proofErr w:type="gramStart"/>
            <w:r w:rsidRPr="0094744B">
              <w:rPr>
                <w:rFonts w:ascii="Arial" w:eastAsia="Calibri" w:hAnsi="Arial" w:cs="Times New Roman"/>
                <w:sz w:val="23"/>
                <w:lang w:val="en-US"/>
              </w:rPr>
              <w:t>2</w:t>
            </w:r>
            <w:r w:rsidRPr="0094744B">
              <w:rPr>
                <w:rFonts w:ascii="Arial" w:eastAsia="Calibri" w:hAnsi="Arial" w:cs="Times New Roman"/>
                <w:sz w:val="23"/>
                <w:vertAlign w:val="superscript"/>
                <w:lang w:val="en-US"/>
              </w:rPr>
              <w:t>nd</w:t>
            </w:r>
            <w:proofErr w:type="gramEnd"/>
            <w:r w:rsidRPr="0094744B">
              <w:rPr>
                <w:rFonts w:ascii="Arial" w:eastAsia="Calibri" w:hAnsi="Arial" w:cs="Times New Roman"/>
                <w:sz w:val="23"/>
                <w:lang w:val="en-US"/>
              </w:rPr>
              <w:t xml:space="preserve"> lowest contribution rate within the Scottish LGPS at 17%.</w:t>
            </w:r>
          </w:p>
          <w:p w:rsidR="0094744B" w:rsidRPr="0094744B" w:rsidRDefault="0094744B" w:rsidP="0094744B">
            <w:pPr>
              <w:pStyle w:val="ListParagraph"/>
              <w:numPr>
                <w:ilvl w:val="0"/>
                <w:numId w:val="11"/>
              </w:numPr>
              <w:spacing w:after="240" w:line="240" w:lineRule="auto"/>
              <w:rPr>
                <w:rFonts w:ascii="Arial" w:eastAsia="Calibri" w:hAnsi="Arial" w:cs="Times New Roman"/>
                <w:sz w:val="23"/>
                <w:lang w:val="en-US"/>
              </w:rPr>
            </w:pPr>
            <w:r>
              <w:rPr>
                <w:rFonts w:ascii="Arial" w:eastAsia="Calibri" w:hAnsi="Arial" w:cs="Times New Roman"/>
                <w:sz w:val="23"/>
                <w:lang w:val="en-US"/>
              </w:rPr>
              <w:t>Whilst a</w:t>
            </w:r>
            <w:r w:rsidRPr="0094744B">
              <w:rPr>
                <w:rFonts w:ascii="Arial" w:eastAsia="Calibri" w:hAnsi="Arial" w:cs="Times New Roman"/>
                <w:sz w:val="23"/>
                <w:lang w:val="en-US"/>
              </w:rPr>
              <w:t xml:space="preserve">nnual investment reviews are undertaken independently (that assess fee levels) are not within the public realm, </w:t>
            </w:r>
            <w:r>
              <w:rPr>
                <w:rFonts w:ascii="Arial" w:eastAsia="Calibri" w:hAnsi="Arial" w:cs="Times New Roman"/>
                <w:sz w:val="23"/>
                <w:lang w:val="en-US"/>
              </w:rPr>
              <w:t xml:space="preserve">at </w:t>
            </w:r>
            <w:r w:rsidRPr="0094744B">
              <w:rPr>
                <w:rFonts w:ascii="Arial" w:eastAsia="Calibri" w:hAnsi="Arial" w:cs="Times New Roman"/>
                <w:sz w:val="23"/>
                <w:lang w:val="en-US"/>
              </w:rPr>
              <w:t>employers forums, the fund officers provide presentation on fund performance and costs</w:t>
            </w:r>
            <w:r>
              <w:rPr>
                <w:rFonts w:ascii="Arial" w:eastAsia="Calibri" w:hAnsi="Arial" w:cs="Times New Roman"/>
                <w:sz w:val="23"/>
                <w:lang w:val="en-US"/>
              </w:rPr>
              <w:t xml:space="preserve"> per accounts and against peer group (see below extract from independent auditor assessments)</w:t>
            </w:r>
            <w:r w:rsidRPr="0094744B">
              <w:rPr>
                <w:rFonts w:ascii="Arial" w:eastAsia="Calibri" w:hAnsi="Arial" w:cs="Times New Roman"/>
                <w:sz w:val="23"/>
                <w:lang w:val="en-US"/>
              </w:rPr>
              <w:t xml:space="preserv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drawing>
                <wp:inline distT="0" distB="0" distL="0" distR="0">
                  <wp:extent cx="5372100" cy="20897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6958" cy="2095565"/>
                          </a:xfrm>
                          <a:prstGeom prst="rect">
                            <a:avLst/>
                          </a:prstGeom>
                          <a:noFill/>
                        </pic:spPr>
                      </pic:pic>
                    </a:graphicData>
                  </a:graphic>
                </wp:inline>
              </w:drawing>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does the current system manage investment costs?  </w:t>
            </w:r>
          </w:p>
          <w:p w:rsidR="0094744B" w:rsidRPr="00A67DC1" w:rsidRDefault="0094744B" w:rsidP="00A67DC1">
            <w:pPr>
              <w:pStyle w:val="ListParagraph"/>
              <w:numPr>
                <w:ilvl w:val="0"/>
                <w:numId w:val="12"/>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The Scheme Advisory Board (SAB) structural review report refers to The Financial Conduct Authority’s (FCA) recent Asset Management Market Study, </w:t>
            </w:r>
            <w:r w:rsidRPr="00A67DC1">
              <w:rPr>
                <w:rFonts w:ascii="Arial" w:eastAsia="Calibri" w:hAnsi="Arial" w:cs="Times New Roman"/>
                <w:sz w:val="23"/>
                <w:lang w:val="en-US"/>
              </w:rPr>
              <w:lastRenderedPageBreak/>
              <w:t xml:space="preserve">which highlights a number of weaknesses in the current asset management system in the UK.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A67DC1">
              <w:rPr>
                <w:rFonts w:ascii="Arial" w:eastAsia="Calibri" w:hAnsi="Arial" w:cs="Times New Roman"/>
                <w:sz w:val="23"/>
                <w:lang w:val="en-US"/>
              </w:rPr>
              <w:t xml:space="preserve"> </w:t>
            </w:r>
            <w:r w:rsidRPr="00A67DC1">
              <w:rPr>
                <w:rFonts w:ascii="Arial" w:eastAsia="Calibri" w:hAnsi="Arial" w:cs="Times New Roman"/>
                <w:sz w:val="23"/>
                <w:lang w:val="en-US"/>
              </w:rPr>
              <w:t>believe that these issues apply particularly to small, retail investors, and as Local Government Pension Scheme (LGPS) funds are all large investors, are reassured that the report confirmed are able to negotiate very effectively and get good value for money.</w:t>
            </w:r>
          </w:p>
          <w:p w:rsidR="0094744B" w:rsidRPr="00A67DC1" w:rsidRDefault="0094744B" w:rsidP="00A67DC1">
            <w:pPr>
              <w:pStyle w:val="ListParagraph"/>
              <w:numPr>
                <w:ilvl w:val="0"/>
                <w:numId w:val="12"/>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Whilst there is always room for improvement, it is clear that LGPS are subject to greater levels of scrutiny and transparency to their corporate counterparts. All LGPS investment services are subject to tender, and in addition to the requirements to meet public sector procurement guidance, there is additional scrutiny through the governance framework and public accountability from members and employers through the closeness to the funds that they are stakeholders </w:t>
            </w:r>
            <w:proofErr w:type="gramStart"/>
            <w:r w:rsidRPr="00A67DC1">
              <w:rPr>
                <w:rFonts w:ascii="Arial" w:eastAsia="Calibri" w:hAnsi="Arial" w:cs="Times New Roman"/>
                <w:sz w:val="23"/>
                <w:lang w:val="en-US"/>
              </w:rPr>
              <w:t>in</w:t>
            </w:r>
            <w:proofErr w:type="gramEnd"/>
            <w:r w:rsidRPr="00A67DC1">
              <w:rPr>
                <w:rFonts w:ascii="Arial" w:eastAsia="Calibri" w:hAnsi="Arial" w:cs="Times New Roman"/>
                <w:sz w:val="23"/>
                <w:lang w:val="en-US"/>
              </w:rPr>
              <w:t xml:space="preserv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the measurement and management of investment costs in the current system? </w:t>
            </w:r>
          </w:p>
          <w:p w:rsidR="0094744B" w:rsidRPr="00A67DC1" w:rsidRDefault="0094744B" w:rsidP="00A67DC1">
            <w:pPr>
              <w:pStyle w:val="ListParagraph"/>
              <w:numPr>
                <w:ilvl w:val="0"/>
                <w:numId w:val="12"/>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The introduction of the Transparency Code, MiFID II (the Markets in financial Instruments Directive) and other market initiatives have improved measurement and management, however these have been recent and in cases only considered best practice.  </w:t>
            </w:r>
          </w:p>
          <w:p w:rsidR="0094744B" w:rsidRPr="00A67DC1" w:rsidRDefault="0094744B" w:rsidP="00A67DC1">
            <w:pPr>
              <w:pStyle w:val="ListParagraph"/>
              <w:numPr>
                <w:ilvl w:val="0"/>
                <w:numId w:val="12"/>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As a participating employer within TPF,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A67DC1">
              <w:rPr>
                <w:rFonts w:ascii="Arial" w:eastAsia="Calibri" w:hAnsi="Arial" w:cs="Times New Roman"/>
                <w:sz w:val="23"/>
                <w:lang w:val="en-US"/>
              </w:rPr>
              <w:t xml:space="preserve"> </w:t>
            </w:r>
            <w:r w:rsidRPr="00A67DC1">
              <w:rPr>
                <w:rFonts w:ascii="Arial" w:eastAsia="Calibri" w:hAnsi="Arial" w:cs="Times New Roman"/>
                <w:sz w:val="23"/>
                <w:lang w:val="en-US"/>
              </w:rPr>
              <w:t xml:space="preserve">would support mandatory compliance with all relevant codes of practice and initiatives where applicable to the relevant asset classes in order to ensure consistency and transparency.  </w:t>
            </w:r>
          </w:p>
          <w:p w:rsidR="0094744B" w:rsidRPr="0094744B" w:rsidRDefault="0094744B" w:rsidP="0094744B">
            <w:pPr>
              <w:numPr>
                <w:ilvl w:val="0"/>
                <w:numId w:val="4"/>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proofErr w:type="gramStart"/>
            <w:r w:rsidRPr="0094744B">
              <w:rPr>
                <w:rFonts w:ascii="Arial" w:eastAsia="Calibri" w:hAnsi="Arial" w:cs="Times New Roman"/>
                <w:i/>
                <w:sz w:val="23"/>
                <w:lang w:val="en-US"/>
              </w:rPr>
              <w:t>How well informed do you feel about the governance of your fund?</w:t>
            </w:r>
            <w:proofErr w:type="gramEnd"/>
            <w:r w:rsidRPr="0094744B">
              <w:rPr>
                <w:rFonts w:ascii="Arial" w:eastAsia="Calibri" w:hAnsi="Arial" w:cs="Times New Roman"/>
                <w:i/>
                <w:sz w:val="23"/>
                <w:lang w:val="en-US"/>
              </w:rPr>
              <w:t xml:space="preserve"> What information do you rely on to measure this?</w:t>
            </w:r>
          </w:p>
          <w:p w:rsidR="0094744B" w:rsidRPr="00A67DC1" w:rsidRDefault="0094744B" w:rsidP="00A67DC1">
            <w:pPr>
              <w:pStyle w:val="ListParagraph"/>
              <w:numPr>
                <w:ilvl w:val="0"/>
                <w:numId w:val="13"/>
              </w:numPr>
              <w:spacing w:after="240" w:line="240" w:lineRule="auto"/>
              <w:rPr>
                <w:rFonts w:ascii="Arial" w:eastAsia="Calibri" w:hAnsi="Arial" w:cs="Times New Roman"/>
                <w:sz w:val="23"/>
                <w:lang w:val="en-US"/>
              </w:rPr>
            </w:pPr>
            <w:proofErr w:type="gramStart"/>
            <w:r w:rsidRPr="00A67DC1">
              <w:rPr>
                <w:rFonts w:ascii="Arial" w:eastAsia="Calibri" w:hAnsi="Arial" w:cs="Times New Roman"/>
                <w:sz w:val="23"/>
                <w:lang w:val="en-US"/>
              </w:rPr>
              <w:t>TPF is administered by Dundee City Council as the administering authority</w:t>
            </w:r>
            <w:proofErr w:type="gramEnd"/>
            <w:r w:rsidRPr="00A67DC1">
              <w:rPr>
                <w:rFonts w:ascii="Arial" w:eastAsia="Calibri" w:hAnsi="Arial" w:cs="Times New Roman"/>
                <w:sz w:val="23"/>
                <w:lang w:val="en-US"/>
              </w:rPr>
              <w:t xml:space="preserve"> with responsibility for the management of the fund delegated to the </w:t>
            </w:r>
            <w:proofErr w:type="spellStart"/>
            <w:r w:rsidRPr="00A67DC1">
              <w:rPr>
                <w:rFonts w:ascii="Arial" w:eastAsia="Calibri" w:hAnsi="Arial" w:cs="Times New Roman"/>
                <w:sz w:val="23"/>
                <w:lang w:val="en-US"/>
              </w:rPr>
              <w:t>Tayside</w:t>
            </w:r>
            <w:proofErr w:type="spellEnd"/>
            <w:r w:rsidRPr="00A67DC1">
              <w:rPr>
                <w:rFonts w:ascii="Arial" w:eastAsia="Calibri" w:hAnsi="Arial" w:cs="Times New Roman"/>
                <w:sz w:val="23"/>
                <w:lang w:val="en-US"/>
              </w:rPr>
              <w:t xml:space="preserve"> Pension Sub-Committee.  This Sub-Committee meets quarterly and oversees the supervision and administration of the fund’s investments, sets the investment strategy </w:t>
            </w:r>
            <w:proofErr w:type="gramStart"/>
            <w:r w:rsidRPr="00A67DC1">
              <w:rPr>
                <w:rFonts w:ascii="Arial" w:eastAsia="Calibri" w:hAnsi="Arial" w:cs="Times New Roman"/>
                <w:sz w:val="23"/>
                <w:lang w:val="en-US"/>
              </w:rPr>
              <w:t>and also</w:t>
            </w:r>
            <w:proofErr w:type="gramEnd"/>
            <w:r w:rsidRPr="00A67DC1">
              <w:rPr>
                <w:rFonts w:ascii="Arial" w:eastAsia="Calibri" w:hAnsi="Arial" w:cs="Times New Roman"/>
                <w:sz w:val="23"/>
                <w:lang w:val="en-US"/>
              </w:rPr>
              <w:t xml:space="preserve"> oversees pension administration.  The </w:t>
            </w:r>
            <w:proofErr w:type="gramStart"/>
            <w:r w:rsidRPr="00A67DC1">
              <w:rPr>
                <w:rFonts w:ascii="Arial" w:eastAsia="Calibri" w:hAnsi="Arial" w:cs="Times New Roman"/>
                <w:sz w:val="23"/>
                <w:lang w:val="en-US"/>
              </w:rPr>
              <w:t>day to day</w:t>
            </w:r>
            <w:proofErr w:type="gramEnd"/>
            <w:r w:rsidRPr="00A67DC1">
              <w:rPr>
                <w:rFonts w:ascii="Arial" w:eastAsia="Calibri" w:hAnsi="Arial" w:cs="Times New Roman"/>
                <w:sz w:val="23"/>
                <w:lang w:val="en-US"/>
              </w:rPr>
              <w:t xml:space="preserve"> operational matters are further delegated in the main to the Executive Director of Corporate Services.  This governance structure includes all the mandatory elements introduced by the Public Service Pensions Act 2013.</w:t>
            </w:r>
          </w:p>
          <w:p w:rsidR="0094744B" w:rsidRPr="00A67DC1" w:rsidRDefault="0094744B" w:rsidP="00A67DC1">
            <w:pPr>
              <w:pStyle w:val="ListParagraph"/>
              <w:numPr>
                <w:ilvl w:val="0"/>
                <w:numId w:val="13"/>
              </w:numPr>
              <w:spacing w:after="240" w:line="240" w:lineRule="auto"/>
              <w:rPr>
                <w:rFonts w:ascii="Arial" w:eastAsia="Calibri" w:hAnsi="Arial" w:cs="Times New Roman"/>
                <w:sz w:val="23"/>
                <w:lang w:val="en-US"/>
              </w:rPr>
            </w:pPr>
            <w:proofErr w:type="gramStart"/>
            <w:r w:rsidRPr="00A67DC1">
              <w:rPr>
                <w:rFonts w:ascii="Arial" w:eastAsia="Calibri" w:hAnsi="Arial" w:cs="Times New Roman"/>
                <w:sz w:val="23"/>
                <w:lang w:val="en-US"/>
              </w:rPr>
              <w:t>As a result</w:t>
            </w:r>
            <w:proofErr w:type="gramEnd"/>
            <w:r w:rsidRPr="00A67DC1">
              <w:rPr>
                <w:rFonts w:ascii="Arial" w:eastAsia="Calibri" w:hAnsi="Arial" w:cs="Times New Roman"/>
                <w:sz w:val="23"/>
                <w:lang w:val="en-US"/>
              </w:rPr>
              <w:t xml:space="preserve"> of further legislative changes to the governance arrangements in relation to pension schemes within the public sector, The Pension Board was established on 1st April 2015 and is separate from the Pension Sub-Committee.  The Pension Board are responsible for assisting in securing compliance with the regulation and other legislation relating to the governance and administration of the Scheme </w:t>
            </w:r>
            <w:proofErr w:type="gramStart"/>
            <w:r w:rsidRPr="00A67DC1">
              <w:rPr>
                <w:rFonts w:ascii="Arial" w:eastAsia="Calibri" w:hAnsi="Arial" w:cs="Times New Roman"/>
                <w:sz w:val="23"/>
                <w:lang w:val="en-US"/>
              </w:rPr>
              <w:t>and also</w:t>
            </w:r>
            <w:proofErr w:type="gramEnd"/>
            <w:r w:rsidRPr="00A67DC1">
              <w:rPr>
                <w:rFonts w:ascii="Arial" w:eastAsia="Calibri" w:hAnsi="Arial" w:cs="Times New Roman"/>
                <w:sz w:val="23"/>
                <w:lang w:val="en-US"/>
              </w:rPr>
              <w:t xml:space="preserve"> the requirements of the Pensions Regulator.</w:t>
            </w:r>
          </w:p>
          <w:p w:rsidR="0094744B" w:rsidRPr="00A67DC1" w:rsidRDefault="0094744B" w:rsidP="00A67DC1">
            <w:pPr>
              <w:pStyle w:val="ListParagraph"/>
              <w:numPr>
                <w:ilvl w:val="0"/>
                <w:numId w:val="13"/>
              </w:numPr>
              <w:spacing w:after="240" w:line="240" w:lineRule="auto"/>
              <w:rPr>
                <w:rFonts w:ascii="Arial" w:eastAsia="Calibri" w:hAnsi="Arial" w:cs="Times New Roman"/>
                <w:sz w:val="23"/>
                <w:lang w:val="en-US"/>
              </w:rPr>
            </w:pPr>
            <w:proofErr w:type="gramStart"/>
            <w:r w:rsidRPr="00A67DC1">
              <w:rPr>
                <w:rFonts w:ascii="Arial" w:eastAsia="Calibri" w:hAnsi="Arial" w:cs="Times New Roman"/>
                <w:sz w:val="23"/>
                <w:lang w:val="en-US"/>
              </w:rPr>
              <w:t xml:space="preserve">The role of the Pension Board is to assist TPF in complying with all of the legislative requirements and making sure that the scheme is being efficiently &amp; effectively governed and </w:t>
            </w:r>
            <w:proofErr w:type="spellStart"/>
            <w:r w:rsidRPr="00A67DC1">
              <w:rPr>
                <w:rFonts w:ascii="Arial" w:eastAsia="Calibri" w:hAnsi="Arial" w:cs="Times New Roman"/>
                <w:sz w:val="23"/>
                <w:lang w:val="en-US"/>
              </w:rPr>
              <w:t>managed.The</w:t>
            </w:r>
            <w:proofErr w:type="spellEnd"/>
            <w:r w:rsidRPr="00A67DC1">
              <w:rPr>
                <w:rFonts w:ascii="Arial" w:eastAsia="Calibri" w:hAnsi="Arial" w:cs="Times New Roman"/>
                <w:sz w:val="23"/>
                <w:lang w:val="en-US"/>
              </w:rPr>
              <w:t xml:space="preserve"> Pension Board members work in conjunction with the officers of TPF to ensure </w:t>
            </w:r>
            <w:r w:rsidR="00A67DC1" w:rsidRPr="00A67DC1">
              <w:rPr>
                <w:rFonts w:ascii="Arial" w:eastAsia="Calibri" w:hAnsi="Arial" w:cs="Times New Roman"/>
                <w:sz w:val="23"/>
                <w:lang w:val="en-US"/>
              </w:rPr>
              <w:t>all employers and members</w:t>
            </w:r>
            <w:r w:rsidRPr="00A67DC1">
              <w:rPr>
                <w:rFonts w:ascii="Arial" w:eastAsia="Calibri" w:hAnsi="Arial" w:cs="Times New Roman"/>
                <w:sz w:val="23"/>
                <w:lang w:val="en-US"/>
              </w:rPr>
              <w:t xml:space="preserve"> that the pension scheme is well managed and administered, and that scheme members get the best service.</w:t>
            </w:r>
            <w:proofErr w:type="gramEnd"/>
            <w:r w:rsidRPr="00A67DC1">
              <w:rPr>
                <w:rFonts w:ascii="Arial" w:eastAsia="Calibri" w:hAnsi="Arial" w:cs="Times New Roman"/>
                <w:sz w:val="23"/>
                <w:lang w:val="en-US"/>
              </w:rPr>
              <w:t xml:space="preserve"> The local Pension Board must have an equal number of scheme member and scheme employer representatives and board </w:t>
            </w:r>
            <w:r w:rsidRPr="00A67DC1">
              <w:rPr>
                <w:rFonts w:ascii="Arial" w:eastAsia="Calibri" w:hAnsi="Arial" w:cs="Times New Roman"/>
                <w:sz w:val="23"/>
                <w:lang w:val="en-US"/>
              </w:rPr>
              <w:lastRenderedPageBreak/>
              <w:t xml:space="preserve">members </w:t>
            </w:r>
            <w:proofErr w:type="gramStart"/>
            <w:r w:rsidRPr="00A67DC1">
              <w:rPr>
                <w:rFonts w:ascii="Arial" w:eastAsia="Calibri" w:hAnsi="Arial" w:cs="Times New Roman"/>
                <w:sz w:val="23"/>
                <w:lang w:val="en-US"/>
              </w:rPr>
              <w:t>are appointed</w:t>
            </w:r>
            <w:proofErr w:type="gramEnd"/>
            <w:r w:rsidRPr="00A67DC1">
              <w:rPr>
                <w:rFonts w:ascii="Arial" w:eastAsia="Calibri" w:hAnsi="Arial" w:cs="Times New Roman"/>
                <w:sz w:val="23"/>
                <w:lang w:val="en-US"/>
              </w:rPr>
              <w:t xml:space="preserve"> for a term of 5 years (in line with local government election cycle).</w:t>
            </w:r>
          </w:p>
          <w:p w:rsidR="0094744B" w:rsidRPr="00A67DC1" w:rsidRDefault="0094744B" w:rsidP="00A67DC1">
            <w:pPr>
              <w:pStyle w:val="ListParagraph"/>
              <w:numPr>
                <w:ilvl w:val="0"/>
                <w:numId w:val="13"/>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In light of the above,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is comfortable that TPF has appropriate governance statements and policies in place which are available within a defined area of the TPF website as well as within the annual report of the fund.</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0094744B" w:rsidRPr="00A67DC1">
              <w:rPr>
                <w:rFonts w:ascii="Arial" w:eastAsia="Calibri" w:hAnsi="Arial" w:cs="Times New Roman"/>
                <w:sz w:val="23"/>
                <w:lang w:val="en-US"/>
              </w:rPr>
              <w:t xml:space="preserve"> is comfortable with the level of effectiveness of TPF’s governance as </w:t>
            </w:r>
            <w:proofErr w:type="gramStart"/>
            <w:r w:rsidR="0094744B" w:rsidRPr="00A67DC1">
              <w:rPr>
                <w:rFonts w:ascii="Arial" w:eastAsia="Calibri" w:hAnsi="Arial" w:cs="Times New Roman"/>
                <w:sz w:val="23"/>
                <w:lang w:val="en-US"/>
              </w:rPr>
              <w:t>it is measured annually by external auditors</w:t>
            </w:r>
            <w:proofErr w:type="gramEnd"/>
            <w:r w:rsidR="0094744B" w:rsidRPr="00A67DC1">
              <w:rPr>
                <w:rFonts w:ascii="Arial" w:eastAsia="Calibri" w:hAnsi="Arial" w:cs="Times New Roman"/>
                <w:sz w:val="23"/>
                <w:lang w:val="en-US"/>
              </w:rPr>
              <w:t xml:space="preserve">.  Audit Scotland has reported within their own annual audit report that TPF has effective governance arrangements in place that support scrutiny of decisions made by the Pension Sub-committee.  Furthermore,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is reassured that decisions are transparent with committee papers and detailed minutes of meetings of the Pension Sub-committee available on the Dundee City Council's website and all policies and strategies available on the TPF website.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is the current system governed?  </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is aware that the current system of governance in the Scottish LGPS </w:t>
            </w:r>
            <w:proofErr w:type="gramStart"/>
            <w:r w:rsidR="0094744B" w:rsidRPr="00A67DC1">
              <w:rPr>
                <w:rFonts w:ascii="Arial" w:eastAsia="Calibri" w:hAnsi="Arial" w:cs="Times New Roman"/>
                <w:sz w:val="23"/>
                <w:lang w:val="en-US"/>
              </w:rPr>
              <w:t>was only recently introduced</w:t>
            </w:r>
            <w:proofErr w:type="gramEnd"/>
            <w:r w:rsidR="0094744B" w:rsidRPr="00A67DC1">
              <w:rPr>
                <w:rFonts w:ascii="Arial" w:eastAsia="Calibri" w:hAnsi="Arial" w:cs="Times New Roman"/>
                <w:sz w:val="23"/>
                <w:lang w:val="en-US"/>
              </w:rPr>
              <w:t xml:space="preserve"> - in 2015. It was the result of extensive review by a UK government commission leading to primary legislation and new scheme regulations.</w:t>
            </w:r>
          </w:p>
          <w:p w:rsidR="00A67DC1" w:rsidRDefault="0094744B" w:rsidP="00A67DC1">
            <w:pPr>
              <w:pStyle w:val="ListParagraph"/>
              <w:numPr>
                <w:ilvl w:val="0"/>
                <w:numId w:val="13"/>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All boards are now in place, and although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A67DC1">
              <w:rPr>
                <w:rFonts w:ascii="Arial" w:eastAsia="Calibri" w:hAnsi="Arial" w:cs="Times New Roman"/>
                <w:sz w:val="23"/>
                <w:lang w:val="en-US"/>
              </w:rPr>
              <w:t xml:space="preserve"> </w:t>
            </w:r>
            <w:r w:rsidRPr="00A67DC1">
              <w:rPr>
                <w:rFonts w:ascii="Arial" w:eastAsia="Calibri" w:hAnsi="Arial" w:cs="Times New Roman"/>
                <w:sz w:val="23"/>
                <w:lang w:val="en-US"/>
              </w:rPr>
              <w:t xml:space="preserve">would not wish to comment on other funds governance arrangements, </w:t>
            </w:r>
            <w:r w:rsidR="004463A9">
              <w:rPr>
                <w:rFonts w:ascii="Arial" w:eastAsia="Calibri" w:hAnsi="Arial" w:cs="Times New Roman"/>
                <w:sz w:val="23"/>
                <w:lang w:val="en-US"/>
              </w:rPr>
              <w:t>we</w:t>
            </w:r>
            <w:r w:rsidRPr="00A67DC1">
              <w:rPr>
                <w:rFonts w:ascii="Arial" w:eastAsia="Calibri" w:hAnsi="Arial" w:cs="Times New Roman"/>
                <w:sz w:val="23"/>
                <w:lang w:val="en-US"/>
              </w:rPr>
              <w:t xml:space="preserve"> believe that TPF has a strong governance </w:t>
            </w:r>
            <w:proofErr w:type="gramStart"/>
            <w:r w:rsidRPr="00A67DC1">
              <w:rPr>
                <w:rFonts w:ascii="Arial" w:eastAsia="Calibri" w:hAnsi="Arial" w:cs="Times New Roman"/>
                <w:sz w:val="23"/>
                <w:lang w:val="en-US"/>
              </w:rPr>
              <w:t>structure which</w:t>
            </w:r>
            <w:proofErr w:type="gramEnd"/>
            <w:r w:rsidRPr="00A67DC1">
              <w:rPr>
                <w:rFonts w:ascii="Arial" w:eastAsia="Calibri" w:hAnsi="Arial" w:cs="Times New Roman"/>
                <w:sz w:val="23"/>
                <w:lang w:val="en-US"/>
              </w:rPr>
              <w:t xml:space="preserve"> is not overly complex.  This governance not only applies to investment, but to the overall management of the scheme and ensures accountability for all aspects of pension fund management.  </w:t>
            </w:r>
          </w:p>
          <w:p w:rsidR="00A67DC1" w:rsidRDefault="004D5B0F" w:rsidP="0094744B">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is confident that TPF are adequately resourced, and the broad representation of skills and knowledge across the Officers, Committee and the Board ensures appropriate challenge and accountability for </w:t>
            </w:r>
            <w:proofErr w:type="gramStart"/>
            <w:r w:rsidR="0094744B" w:rsidRPr="00A67DC1">
              <w:rPr>
                <w:rFonts w:ascii="Arial" w:eastAsia="Calibri" w:hAnsi="Arial" w:cs="Times New Roman"/>
                <w:sz w:val="23"/>
                <w:lang w:val="en-US"/>
              </w:rPr>
              <w:t>decision making</w:t>
            </w:r>
            <w:proofErr w:type="gramEnd"/>
            <w:r w:rsidR="0094744B" w:rsidRPr="00A67DC1">
              <w:rPr>
                <w:rFonts w:ascii="Arial" w:eastAsia="Calibri" w:hAnsi="Arial" w:cs="Times New Roman"/>
                <w:sz w:val="23"/>
                <w:lang w:val="en-US"/>
              </w:rPr>
              <w:t xml:space="preserve"> and performance monitoring and management.  Specialist independent advisors ensure effectiveness and efficiency.</w:t>
            </w:r>
          </w:p>
          <w:p w:rsidR="00A67DC1" w:rsidRDefault="0094744B" w:rsidP="0094744B">
            <w:pPr>
              <w:pStyle w:val="ListParagraph"/>
              <w:numPr>
                <w:ilvl w:val="0"/>
                <w:numId w:val="13"/>
              </w:numPr>
              <w:spacing w:after="240" w:line="240" w:lineRule="auto"/>
              <w:rPr>
                <w:rFonts w:ascii="Arial" w:eastAsia="Calibri" w:hAnsi="Arial" w:cs="Times New Roman"/>
                <w:sz w:val="23"/>
                <w:lang w:val="en-US"/>
              </w:rPr>
            </w:pPr>
            <w:proofErr w:type="gramStart"/>
            <w:r w:rsidRPr="0094744B">
              <w:rPr>
                <w:rFonts w:ascii="Arial" w:eastAsia="Calibri" w:hAnsi="Arial" w:cs="Times New Roman"/>
                <w:sz w:val="23"/>
                <w:lang w:val="en-US"/>
              </w:rPr>
              <w:t xml:space="preserve">Whilst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94744B">
              <w:rPr>
                <w:rFonts w:ascii="Arial" w:eastAsia="Calibri" w:hAnsi="Arial" w:cs="Times New Roman"/>
                <w:sz w:val="23"/>
                <w:lang w:val="en-US"/>
              </w:rPr>
              <w:t xml:space="preserve"> </w:t>
            </w:r>
            <w:r w:rsidRPr="0094744B">
              <w:rPr>
                <w:rFonts w:ascii="Arial" w:eastAsia="Calibri" w:hAnsi="Arial" w:cs="Times New Roman"/>
                <w:sz w:val="23"/>
                <w:lang w:val="en-US"/>
              </w:rPr>
              <w:t xml:space="preserve">is aware that it has been stated that those involved in the governance and administration of funds have vested interests due to potential adverse effects of any structure change,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believe that the focus should remain primarily on the members and employers of the fund as it is also stated that changes to the structure could affect employers directly, with contributions levels being impacted by changed investment returns as a result of having a change of strategy imposed, or indeed, a change of management, which has poorer performance than they have benefited from in the past.</w:t>
            </w:r>
            <w:proofErr w:type="gramEnd"/>
            <w:r w:rsidRPr="0094744B">
              <w:rPr>
                <w:rFonts w:ascii="Arial" w:eastAsia="Calibri" w:hAnsi="Arial" w:cs="Times New Roman"/>
                <w:sz w:val="23"/>
                <w:lang w:val="en-US"/>
              </w:rPr>
              <w:t xml:space="preserve">  </w:t>
            </w:r>
          </w:p>
          <w:p w:rsidR="0094744B" w:rsidRPr="0094744B" w:rsidRDefault="004D5B0F" w:rsidP="0094744B">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is concerned that some employers may not be able to accommodate any rise in contribution rates, and whilst a change in structure should not affect member’s benefits directly, if investment returns are significantly lower, this may occur (as has been the case for the University Superannuation Scheme). </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proofErr w:type="gram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is aware that some believe the governance of the SLGPS to be inefficient, due to the volumes of people across the country involved in the Pensions Committee and Pension Boards, but believe that this was the structure designed by the UK Government to support close ties with stakeholders, and although admittedly some of the people involved at the beginning had limited knowledge and experience of pension matters, the officers, advisors and experienced members of Committees have provided </w:t>
            </w:r>
            <w:r w:rsidR="0094744B" w:rsidRPr="00A67DC1">
              <w:rPr>
                <w:rFonts w:ascii="Arial" w:eastAsia="Calibri" w:hAnsi="Arial" w:cs="Times New Roman"/>
                <w:sz w:val="23"/>
                <w:lang w:val="en-US"/>
              </w:rPr>
              <w:lastRenderedPageBreak/>
              <w:t>support and guidance.</w:t>
            </w:r>
            <w:proofErr w:type="gramEnd"/>
            <w:r w:rsidR="0094744B" w:rsidRPr="00A67DC1">
              <w:rPr>
                <w:rFonts w:ascii="Arial" w:eastAsia="Calibri" w:hAnsi="Arial" w:cs="Times New Roman"/>
                <w:sz w:val="23"/>
                <w:lang w:val="en-US"/>
              </w:rPr>
              <w:t xml:space="preserve">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believe that the introduction of </w:t>
            </w:r>
            <w:proofErr w:type="gramStart"/>
            <w:r w:rsidR="0094744B" w:rsidRPr="00A67DC1">
              <w:rPr>
                <w:rFonts w:ascii="Arial" w:eastAsia="Calibri" w:hAnsi="Arial" w:cs="Times New Roman"/>
                <w:sz w:val="23"/>
                <w:lang w:val="en-US"/>
              </w:rPr>
              <w:t>pensions</w:t>
            </w:r>
            <w:proofErr w:type="gramEnd"/>
            <w:r w:rsidR="0094744B" w:rsidRPr="00A67DC1">
              <w:rPr>
                <w:rFonts w:ascii="Arial" w:eastAsia="Calibri" w:hAnsi="Arial" w:cs="Times New Roman"/>
                <w:sz w:val="23"/>
                <w:lang w:val="en-US"/>
              </w:rPr>
              <w:t xml:space="preserve"> boards in addition to pension committees has improved the scrutiny and communication of the fund with its stakeholders.</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is aware that statements </w:t>
            </w:r>
            <w:proofErr w:type="gramStart"/>
            <w:r w:rsidR="0094744B" w:rsidRPr="00A67DC1">
              <w:rPr>
                <w:rFonts w:ascii="Arial" w:eastAsia="Calibri" w:hAnsi="Arial" w:cs="Times New Roman"/>
                <w:sz w:val="23"/>
                <w:lang w:val="en-US"/>
              </w:rPr>
              <w:t>have been made regarding Councils acting as Administering Authorities bring governance issues including limited involvement of stakeholders and conflicts of interest for both officer and elected members</w:t>
            </w:r>
            <w:proofErr w:type="gramEnd"/>
            <w:r w:rsidR="0094744B" w:rsidRPr="00A67DC1">
              <w:rPr>
                <w:rFonts w:ascii="Arial" w:eastAsia="Calibri" w:hAnsi="Arial" w:cs="Times New Roman"/>
                <w:sz w:val="23"/>
                <w:lang w:val="en-US"/>
              </w:rPr>
              <w:t xml:space="preserve">.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believe that there is no evidence of this and furthermore believe that TPF (as well as all other Scottish funds) have appropriate policies and controls in place to prevent this.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governance of the current system? </w:t>
            </w:r>
          </w:p>
          <w:p w:rsidR="0094744B" w:rsidRPr="00A67DC1" w:rsidRDefault="0094744B" w:rsidP="00A67DC1">
            <w:pPr>
              <w:pStyle w:val="ListParagraph"/>
              <w:numPr>
                <w:ilvl w:val="0"/>
                <w:numId w:val="13"/>
              </w:numPr>
              <w:spacing w:after="240" w:line="240" w:lineRule="auto"/>
              <w:rPr>
                <w:rFonts w:ascii="Arial" w:eastAsia="Calibri" w:hAnsi="Arial" w:cs="Times New Roman"/>
                <w:sz w:val="23"/>
                <w:lang w:val="en-US"/>
              </w:rPr>
            </w:pPr>
            <w:r w:rsidRPr="00A67DC1">
              <w:rPr>
                <w:rFonts w:ascii="Arial" w:eastAsia="Calibri" w:hAnsi="Arial" w:cs="Times New Roman"/>
                <w:sz w:val="23"/>
                <w:lang w:val="en-US"/>
              </w:rPr>
              <w:t xml:space="preserve">Whilst each fund is subject to scrutiny through its own governance and audit, some believe that there is a lack of consistency of </w:t>
            </w:r>
            <w:proofErr w:type="gramStart"/>
            <w:r w:rsidRPr="00A67DC1">
              <w:rPr>
                <w:rFonts w:ascii="Arial" w:eastAsia="Calibri" w:hAnsi="Arial" w:cs="Times New Roman"/>
                <w:sz w:val="23"/>
                <w:lang w:val="en-US"/>
              </w:rPr>
              <w:t>information which</w:t>
            </w:r>
            <w:proofErr w:type="gramEnd"/>
            <w:r w:rsidRPr="00A67DC1">
              <w:rPr>
                <w:rFonts w:ascii="Arial" w:eastAsia="Calibri" w:hAnsi="Arial" w:cs="Times New Roman"/>
                <w:sz w:val="23"/>
                <w:lang w:val="en-US"/>
              </w:rPr>
              <w:t xml:space="preserve"> makes it difficult for stakeholders to judge the effectiveness of their fund, and of the Scheme as a whole.  These concerns have been addressed by the recent initiatives such as the LGPS Transparency Code, introduction of Pensions Boards and increased collaboration and co-investment between </w:t>
            </w:r>
            <w:proofErr w:type="gramStart"/>
            <w:r w:rsidRPr="00A67DC1">
              <w:rPr>
                <w:rFonts w:ascii="Arial" w:eastAsia="Calibri" w:hAnsi="Arial" w:cs="Times New Roman"/>
                <w:sz w:val="23"/>
                <w:lang w:val="en-US"/>
              </w:rPr>
              <w:t>funds which</w:t>
            </w:r>
            <w:proofErr w:type="gramEnd"/>
            <w:r w:rsidRPr="00A67DC1">
              <w:rPr>
                <w:rFonts w:ascii="Arial" w:eastAsia="Calibri" w:hAnsi="Arial" w:cs="Times New Roman"/>
                <w:sz w:val="23"/>
                <w:lang w:val="en-US"/>
              </w:rPr>
              <w:t xml:space="preserve"> is helping to further improve governance and manage costs.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A67DC1" w:rsidRPr="0094744B">
              <w:rPr>
                <w:rFonts w:ascii="Arial" w:eastAsia="Calibri" w:hAnsi="Arial" w:cs="Times New Roman"/>
                <w:sz w:val="23"/>
                <w:lang w:val="en-US"/>
              </w:rPr>
              <w:t xml:space="preserve"> </w:t>
            </w:r>
            <w:r w:rsidRPr="00A67DC1">
              <w:rPr>
                <w:rFonts w:ascii="Arial" w:eastAsia="Calibri" w:hAnsi="Arial" w:cs="Times New Roman"/>
                <w:sz w:val="23"/>
                <w:lang w:val="en-US"/>
              </w:rPr>
              <w:t>recommend that these measures should be allowed time to be incorporated into standard operating practice prior to making further assessment or recommendation in this area.</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important is it to maintain a local connection with respect to oversight and strategy?</w:t>
            </w:r>
          </w:p>
          <w:p w:rsid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believe that the LGPS represents both significant benefit for scheme members, but also considerable cost for employers. Local connection is essential to ensure that both employers and members can exercise meaningful oversight, and that investment and funding strategies </w:t>
            </w:r>
            <w:proofErr w:type="gramStart"/>
            <w:r w:rsidR="0094744B" w:rsidRPr="00A67DC1">
              <w:rPr>
                <w:rFonts w:ascii="Arial" w:eastAsia="Calibri" w:hAnsi="Arial" w:cs="Times New Roman"/>
                <w:sz w:val="23"/>
                <w:lang w:val="en-US"/>
              </w:rPr>
              <w:t>are fully aligned and tailored to their own membership requirements</w:t>
            </w:r>
            <w:proofErr w:type="gramEnd"/>
            <w:r w:rsidR="0094744B" w:rsidRPr="00A67DC1">
              <w:rPr>
                <w:rFonts w:ascii="Arial" w:eastAsia="Calibri" w:hAnsi="Arial" w:cs="Times New Roman"/>
                <w:sz w:val="23"/>
                <w:lang w:val="en-US"/>
              </w:rPr>
              <w:t xml:space="preserve">. </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00A67DC1">
              <w:rPr>
                <w:rFonts w:ascii="Arial" w:eastAsia="Calibri" w:hAnsi="Arial" w:cs="Times New Roman"/>
                <w:color w:val="000000" w:themeColor="text1"/>
                <w:sz w:val="23"/>
              </w:rPr>
              <w:t xml:space="preserve"> </w:t>
            </w:r>
            <w:r w:rsidR="0094744B" w:rsidRPr="00A67DC1">
              <w:rPr>
                <w:rFonts w:ascii="Arial" w:eastAsia="Calibri" w:hAnsi="Arial" w:cs="Times New Roman"/>
                <w:sz w:val="23"/>
                <w:lang w:val="en-US"/>
              </w:rPr>
              <w:t xml:space="preserve">believe that the closeness to its stakeholders has had positive impact on the performance of the fund overall as the closeness to the employers and membership enables </w:t>
            </w:r>
            <w:proofErr w:type="gramStart"/>
            <w:r w:rsidR="0094744B" w:rsidRPr="00A67DC1">
              <w:rPr>
                <w:rFonts w:ascii="Arial" w:eastAsia="Calibri" w:hAnsi="Arial" w:cs="Times New Roman"/>
                <w:sz w:val="23"/>
                <w:lang w:val="en-US"/>
              </w:rPr>
              <w:t>face to face</w:t>
            </w:r>
            <w:proofErr w:type="gramEnd"/>
            <w:r w:rsidR="0094744B" w:rsidRPr="00A67DC1">
              <w:rPr>
                <w:rFonts w:ascii="Arial" w:eastAsia="Calibri" w:hAnsi="Arial" w:cs="Times New Roman"/>
                <w:sz w:val="23"/>
                <w:lang w:val="en-US"/>
              </w:rPr>
              <w:t xml:space="preserve"> communication and better understanding of local circumstances.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would you determine if the benefits of a local connection in governance outweigh the benefits of scale?</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 xml:space="preserve">believe that there is absolutely no evidence to suggest that the current model is fundamentally flawed. Indeed, the LGPS in Scotland is a considerable success story.  </w:t>
            </w:r>
          </w:p>
          <w:p w:rsidR="0094744B" w:rsidRPr="00A67DC1" w:rsidRDefault="004D5B0F" w:rsidP="00A67DC1">
            <w:pPr>
              <w:pStyle w:val="ListParagraph"/>
              <w:numPr>
                <w:ilvl w:val="0"/>
                <w:numId w:val="1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A67DC1">
              <w:rPr>
                <w:rFonts w:ascii="Arial" w:eastAsia="Calibri" w:hAnsi="Arial" w:cs="Times New Roman"/>
                <w:sz w:val="23"/>
                <w:lang w:val="en-US"/>
              </w:rPr>
              <w:t xml:space="preserve"> </w:t>
            </w:r>
            <w:r w:rsidR="0094744B" w:rsidRPr="00A67DC1">
              <w:rPr>
                <w:rFonts w:ascii="Arial" w:eastAsia="Calibri" w:hAnsi="Arial" w:cs="Times New Roman"/>
                <w:sz w:val="23"/>
                <w:lang w:val="en-US"/>
              </w:rPr>
              <w:t>believe that TPF already enjoys considerable benefits of scale in terms of cost at a value of almost £4bn.  This is demonstrated by the independent annual reviews undertaken by Audit Scotland with the lowest investment management expenses regardless of size:</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lastRenderedPageBreak/>
              <w:drawing>
                <wp:inline distT="0" distB="0" distL="0" distR="0">
                  <wp:extent cx="5381625" cy="29956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429" cy="3006150"/>
                          </a:xfrm>
                          <a:prstGeom prst="rect">
                            <a:avLst/>
                          </a:prstGeom>
                          <a:noFill/>
                          <a:ln>
                            <a:noFill/>
                          </a:ln>
                        </pic:spPr>
                      </pic:pic>
                    </a:graphicData>
                  </a:graphic>
                </wp:inline>
              </w:drawing>
            </w:r>
          </w:p>
          <w:p w:rsidR="0094744B" w:rsidRPr="0094744B" w:rsidRDefault="0094744B" w:rsidP="0094744B">
            <w:pPr>
              <w:spacing w:after="240" w:line="240" w:lineRule="auto"/>
              <w:rPr>
                <w:rFonts w:ascii="Arial" w:eastAsia="Calibri" w:hAnsi="Arial" w:cs="Times New Roman"/>
                <w:sz w:val="23"/>
                <w:lang w:val="en-US"/>
              </w:rPr>
            </w:pPr>
            <w:proofErr w:type="gramStart"/>
            <w:r w:rsidRPr="0094744B">
              <w:rPr>
                <w:rFonts w:ascii="Arial" w:eastAsia="Calibri" w:hAnsi="Arial" w:cs="Times New Roman"/>
                <w:sz w:val="23"/>
                <w:lang w:val="en-US"/>
              </w:rPr>
              <w:t>Furthermore</w:t>
            </w:r>
            <w:proofErr w:type="gramEnd"/>
            <w:r w:rsidRPr="0094744B">
              <w:rPr>
                <w:rFonts w:ascii="Arial" w:eastAsia="Calibri" w:hAnsi="Arial" w:cs="Times New Roman"/>
                <w:sz w:val="23"/>
                <w:lang w:val="en-US"/>
              </w:rPr>
              <w:t xml:space="preserve"> TPF have the second lowest administration and oversight costs as proportion of net assets.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believe that the local scrutiny and accountability are crucial in maintaining value for money.</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drawing>
                <wp:inline distT="0" distB="0" distL="0" distR="0">
                  <wp:extent cx="5210175" cy="2895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2895600"/>
                          </a:xfrm>
                          <a:prstGeom prst="rect">
                            <a:avLst/>
                          </a:prstGeom>
                          <a:noFill/>
                          <a:ln>
                            <a:noFill/>
                          </a:ln>
                        </pic:spPr>
                      </pic:pic>
                    </a:graphicData>
                  </a:graphic>
                </wp:inline>
              </w:drawing>
            </w:r>
          </w:p>
          <w:p w:rsidR="0094744B" w:rsidRPr="0086583D" w:rsidRDefault="0094744B" w:rsidP="0086583D">
            <w:pPr>
              <w:pStyle w:val="ListParagraph"/>
              <w:numPr>
                <w:ilvl w:val="0"/>
                <w:numId w:val="14"/>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Whilst there are various figures being quoted in way of potential savings in investment management costs that would be achieved by merging into one large fund, these figures are assuming internal investment management, but do not provide insight as to impact on investment returns.  </w:t>
            </w:r>
          </w:p>
          <w:p w:rsidR="0094744B" w:rsidRPr="0086583D" w:rsidRDefault="0094744B" w:rsidP="0086583D">
            <w:pPr>
              <w:pStyle w:val="ListParagraph"/>
              <w:numPr>
                <w:ilvl w:val="0"/>
                <w:numId w:val="14"/>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In terms of administration and oversight, there is no huge correlation as to economies of scale that would have such an impact as to warrant fund merger.   </w:t>
            </w:r>
          </w:p>
          <w:p w:rsidR="0094744B" w:rsidRPr="0086583D" w:rsidRDefault="0094744B" w:rsidP="0086583D">
            <w:pPr>
              <w:pStyle w:val="ListParagraph"/>
              <w:numPr>
                <w:ilvl w:val="0"/>
                <w:numId w:val="14"/>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In 2017/18, the following performance across funds </w:t>
            </w:r>
            <w:proofErr w:type="gramStart"/>
            <w:r w:rsidRPr="0086583D">
              <w:rPr>
                <w:rFonts w:ascii="Arial" w:eastAsia="Calibri" w:hAnsi="Arial" w:cs="Times New Roman"/>
                <w:sz w:val="23"/>
                <w:lang w:val="en-US"/>
              </w:rPr>
              <w:t>was captured</w:t>
            </w:r>
            <w:proofErr w:type="gramEnd"/>
            <w:r w:rsidRPr="0086583D">
              <w:rPr>
                <w:rFonts w:ascii="Arial" w:eastAsia="Calibri" w:hAnsi="Arial" w:cs="Times New Roman"/>
                <w:sz w:val="23"/>
                <w:lang w:val="en-US"/>
              </w:rPr>
              <w:t xml:space="preserve"> by Audit Scotland.  From </w:t>
            </w:r>
            <w:proofErr w:type="gramStart"/>
            <w:r w:rsidRPr="0086583D">
              <w:rPr>
                <w:rFonts w:ascii="Arial" w:eastAsia="Calibri" w:hAnsi="Arial" w:cs="Times New Roman"/>
                <w:sz w:val="23"/>
                <w:lang w:val="en-US"/>
              </w:rPr>
              <w:t>this</w:t>
            </w:r>
            <w:proofErr w:type="gramEnd"/>
            <w:r w:rsidRPr="0086583D">
              <w:rPr>
                <w:rFonts w:ascii="Arial" w:eastAsia="Calibri" w:hAnsi="Arial" w:cs="Times New Roman"/>
                <w:sz w:val="23"/>
                <w:lang w:val="en-US"/>
              </w:rPr>
              <w:t xml:space="preserve"> we can see that there are a range of returns, but these are in no way correlated to in-house, or larger schemes.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lastRenderedPageBreak/>
              <w:drawing>
                <wp:inline distT="0" distB="0" distL="0" distR="0">
                  <wp:extent cx="5252915" cy="36195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216" cy="3630043"/>
                          </a:xfrm>
                          <a:prstGeom prst="rect">
                            <a:avLst/>
                          </a:prstGeom>
                          <a:noFill/>
                          <a:ln>
                            <a:noFill/>
                          </a:ln>
                        </pic:spPr>
                      </pic:pic>
                    </a:graphicData>
                  </a:graphic>
                </wp:inline>
              </w:drawing>
            </w:r>
          </w:p>
          <w:p w:rsidR="0094744B" w:rsidRPr="0094744B" w:rsidRDefault="0094744B" w:rsidP="0094744B">
            <w:pPr>
              <w:numPr>
                <w:ilvl w:val="0"/>
                <w:numId w:val="5"/>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How well informed do feel about the operating risks of your fund? What information do you rely on to specify and measure these?</w:t>
            </w:r>
          </w:p>
          <w:p w:rsidR="0094744B" w:rsidRPr="0086583D" w:rsidRDefault="0094744B" w:rsidP="0086583D">
            <w:pPr>
              <w:pStyle w:val="ListParagraph"/>
              <w:numPr>
                <w:ilvl w:val="0"/>
                <w:numId w:val="15"/>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As an employer,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86583D">
              <w:rPr>
                <w:rFonts w:ascii="Arial" w:eastAsia="Calibri" w:hAnsi="Arial" w:cs="Times New Roman"/>
                <w:sz w:val="23"/>
                <w:lang w:val="en-US"/>
              </w:rPr>
              <w:t xml:space="preserve"> </w:t>
            </w:r>
            <w:r w:rsidRPr="0086583D">
              <w:rPr>
                <w:rFonts w:ascii="Arial" w:eastAsia="Calibri" w:hAnsi="Arial" w:cs="Times New Roman"/>
                <w:sz w:val="23"/>
                <w:lang w:val="en-US"/>
              </w:rPr>
              <w:t xml:space="preserve">is aware that TPF have a detailed risk </w:t>
            </w:r>
            <w:proofErr w:type="gramStart"/>
            <w:r w:rsidRPr="0086583D">
              <w:rPr>
                <w:rFonts w:ascii="Arial" w:eastAsia="Calibri" w:hAnsi="Arial" w:cs="Times New Roman"/>
                <w:sz w:val="23"/>
                <w:lang w:val="en-US"/>
              </w:rPr>
              <w:t>register which</w:t>
            </w:r>
            <w:proofErr w:type="gramEnd"/>
            <w:r w:rsidRPr="0086583D">
              <w:rPr>
                <w:rFonts w:ascii="Arial" w:eastAsia="Calibri" w:hAnsi="Arial" w:cs="Times New Roman"/>
                <w:sz w:val="23"/>
                <w:lang w:val="en-US"/>
              </w:rPr>
              <w:t xml:space="preserve"> is subject to continual appraisal and quarterly review by the TPF Sub-Committee and Board.  The risk register is publicly available both on the TPF website and within the minutes of the meetings on Dundee City Council website.  The full risk register </w:t>
            </w:r>
            <w:proofErr w:type="gramStart"/>
            <w:r w:rsidRPr="0086583D">
              <w:rPr>
                <w:rFonts w:ascii="Arial" w:eastAsia="Calibri" w:hAnsi="Arial" w:cs="Times New Roman"/>
                <w:sz w:val="23"/>
                <w:lang w:val="en-US"/>
              </w:rPr>
              <w:t>is also published</w:t>
            </w:r>
            <w:proofErr w:type="gramEnd"/>
            <w:r w:rsidRPr="0086583D">
              <w:rPr>
                <w:rFonts w:ascii="Arial" w:eastAsia="Calibri" w:hAnsi="Arial" w:cs="Times New Roman"/>
                <w:sz w:val="23"/>
                <w:lang w:val="en-US"/>
              </w:rPr>
              <w:t xml:space="preserve"> within the Annual Report.</w:t>
            </w:r>
          </w:p>
          <w:p w:rsidR="0094744B" w:rsidRPr="0086583D" w:rsidRDefault="0094744B" w:rsidP="0086583D">
            <w:pPr>
              <w:pStyle w:val="ListParagraph"/>
              <w:numPr>
                <w:ilvl w:val="0"/>
                <w:numId w:val="15"/>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Whilst it is mooted that there are key person risk within smaller funds,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86583D">
              <w:rPr>
                <w:rFonts w:ascii="Arial" w:eastAsia="Calibri" w:hAnsi="Arial" w:cs="Times New Roman"/>
                <w:sz w:val="23"/>
                <w:lang w:val="en-US"/>
              </w:rPr>
              <w:t xml:space="preserve"> </w:t>
            </w:r>
            <w:r w:rsidRPr="0086583D">
              <w:rPr>
                <w:rFonts w:ascii="Arial" w:eastAsia="Calibri" w:hAnsi="Arial" w:cs="Times New Roman"/>
                <w:sz w:val="23"/>
                <w:lang w:val="en-US"/>
              </w:rPr>
              <w:t xml:space="preserve">believe TPF to have sound and solid governance in place to ensure that there is adequate </w:t>
            </w:r>
            <w:r w:rsidR="0086583D" w:rsidRPr="0086583D">
              <w:rPr>
                <w:rFonts w:ascii="Arial" w:eastAsia="Calibri" w:hAnsi="Arial" w:cs="Times New Roman"/>
                <w:sz w:val="23"/>
                <w:lang w:val="en-US"/>
              </w:rPr>
              <w:t>specialist</w:t>
            </w:r>
            <w:r w:rsidRPr="0086583D">
              <w:rPr>
                <w:rFonts w:ascii="Arial" w:eastAsia="Calibri" w:hAnsi="Arial" w:cs="Times New Roman"/>
                <w:sz w:val="23"/>
                <w:lang w:val="en-US"/>
              </w:rPr>
              <w:t xml:space="preserve"> resource available to assist if required, whether it be by senior officer, investment advisor or from support and guidance in the short term from other funds.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well are operating risks managed in the current system?  </w:t>
            </w:r>
          </w:p>
          <w:p w:rsidR="0094744B" w:rsidRPr="0086583D" w:rsidRDefault="0094744B" w:rsidP="0086583D">
            <w:pPr>
              <w:pStyle w:val="ListParagraph"/>
              <w:numPr>
                <w:ilvl w:val="0"/>
                <w:numId w:val="15"/>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As noted above,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believe TPF to have a strong focus on the identification, analysis and management of risk. Employers are aware of the Investment and funding strategies that </w:t>
            </w:r>
            <w:proofErr w:type="gramStart"/>
            <w:r w:rsidRPr="0086583D">
              <w:rPr>
                <w:rFonts w:ascii="Arial" w:eastAsia="Calibri" w:hAnsi="Arial" w:cs="Times New Roman"/>
                <w:sz w:val="23"/>
                <w:lang w:val="en-US"/>
              </w:rPr>
              <w:t>are designed</w:t>
            </w:r>
            <w:proofErr w:type="gramEnd"/>
            <w:r w:rsidRPr="0086583D">
              <w:rPr>
                <w:rFonts w:ascii="Arial" w:eastAsia="Calibri" w:hAnsi="Arial" w:cs="Times New Roman"/>
                <w:sz w:val="23"/>
                <w:lang w:val="en-US"/>
              </w:rPr>
              <w:t xml:space="preserve"> to manage specific risks, and that there are controls built into processes to ensure that risks are managed appropriately and proportionately.  </w:t>
            </w:r>
          </w:p>
          <w:p w:rsidR="0094744B" w:rsidRPr="0086583D" w:rsidRDefault="004D5B0F" w:rsidP="0086583D">
            <w:pPr>
              <w:pStyle w:val="ListParagraph"/>
              <w:numPr>
                <w:ilvl w:val="0"/>
                <w:numId w:val="1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as participating employers, are aware of the risk monitoring with investment managers (who are contractually bound to have robust compliance and risk management resource) </w:t>
            </w:r>
            <w:proofErr w:type="gramStart"/>
            <w:r w:rsidR="0094744B" w:rsidRPr="0086583D">
              <w:rPr>
                <w:rFonts w:ascii="Arial" w:eastAsia="Calibri" w:hAnsi="Arial" w:cs="Times New Roman"/>
                <w:sz w:val="23"/>
                <w:lang w:val="en-US"/>
              </w:rPr>
              <w:t>is undertaken</w:t>
            </w:r>
            <w:proofErr w:type="gramEnd"/>
            <w:r w:rsidR="0094744B" w:rsidRPr="0086583D">
              <w:rPr>
                <w:rFonts w:ascii="Arial" w:eastAsia="Calibri" w:hAnsi="Arial" w:cs="Times New Roman"/>
                <w:sz w:val="23"/>
                <w:lang w:val="en-US"/>
              </w:rPr>
              <w:t xml:space="preserve"> quarterly, and external analysis is also undertaken by investment consultants and auditors.  </w:t>
            </w:r>
          </w:p>
          <w:p w:rsidR="0094744B" w:rsidRPr="0086583D" w:rsidRDefault="004D5B0F" w:rsidP="0086583D">
            <w:pPr>
              <w:pStyle w:val="ListParagraph"/>
              <w:numPr>
                <w:ilvl w:val="0"/>
                <w:numId w:val="1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that having 11 funds in operation with differing investment strategies provides suitable diversification and risk management for the Scottish LGPS and the employers within.  </w:t>
            </w:r>
            <w:r w:rsidR="004463A9">
              <w:rPr>
                <w:rFonts w:ascii="Arial" w:eastAsia="Calibri" w:hAnsi="Arial" w:cs="Times New Roman"/>
                <w:sz w:val="23"/>
                <w:lang w:val="en-US"/>
              </w:rPr>
              <w:t>We</w:t>
            </w:r>
            <w:r w:rsidR="0094744B" w:rsidRPr="0086583D">
              <w:rPr>
                <w:rFonts w:ascii="Arial" w:eastAsia="Calibri" w:hAnsi="Arial" w:cs="Times New Roman"/>
                <w:sz w:val="23"/>
                <w:lang w:val="en-US"/>
              </w:rPr>
              <w:t xml:space="preserve"> believe that the greater the </w:t>
            </w:r>
            <w:r w:rsidR="0094744B" w:rsidRPr="0086583D">
              <w:rPr>
                <w:rFonts w:ascii="Arial" w:eastAsia="Calibri" w:hAnsi="Arial" w:cs="Times New Roman"/>
                <w:sz w:val="23"/>
                <w:lang w:val="en-US"/>
              </w:rPr>
              <w:lastRenderedPageBreak/>
              <w:t>fund size, the harder the task of diversification and thus the increase of risk to the membership of the fund.  This is a key point that managers of larger, successful funds point out as once too big the risk of diseconomies of scale grows as the bigger the fund, the more inflexible it is to manage.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improve the measurement and management of operating risks in the current system? </w:t>
            </w:r>
          </w:p>
          <w:p w:rsidR="0094744B" w:rsidRPr="0086583D" w:rsidRDefault="004D5B0F" w:rsidP="0086583D">
            <w:pPr>
              <w:pStyle w:val="ListParagraph"/>
              <w:numPr>
                <w:ilvl w:val="0"/>
                <w:numId w:val="1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that scheme benefits and the application of these are a key </w:t>
            </w:r>
            <w:proofErr w:type="gramStart"/>
            <w:r w:rsidR="0094744B" w:rsidRPr="0086583D">
              <w:rPr>
                <w:rFonts w:ascii="Arial" w:eastAsia="Calibri" w:hAnsi="Arial" w:cs="Times New Roman"/>
                <w:sz w:val="23"/>
                <w:lang w:val="en-US"/>
              </w:rPr>
              <w:t>area which</w:t>
            </w:r>
            <w:proofErr w:type="gramEnd"/>
            <w:r w:rsidR="0094744B" w:rsidRPr="0086583D">
              <w:rPr>
                <w:rFonts w:ascii="Arial" w:eastAsia="Calibri" w:hAnsi="Arial" w:cs="Times New Roman"/>
                <w:sz w:val="23"/>
                <w:lang w:val="en-US"/>
              </w:rPr>
              <w:t xml:space="preserve"> could benefit from improvement.  The regulations associated with scheme benefits </w:t>
            </w:r>
            <w:proofErr w:type="gramStart"/>
            <w:r w:rsidR="0094744B" w:rsidRPr="0086583D">
              <w:rPr>
                <w:rFonts w:ascii="Arial" w:eastAsia="Calibri" w:hAnsi="Arial" w:cs="Times New Roman"/>
                <w:sz w:val="23"/>
                <w:lang w:val="en-US"/>
              </w:rPr>
              <w:t>have over the years become</w:t>
            </w:r>
            <w:proofErr w:type="gramEnd"/>
            <w:r w:rsidR="0094744B" w:rsidRPr="0086583D">
              <w:rPr>
                <w:rFonts w:ascii="Arial" w:eastAsia="Calibri" w:hAnsi="Arial" w:cs="Times New Roman"/>
                <w:sz w:val="23"/>
                <w:lang w:val="en-US"/>
              </w:rPr>
              <w:t xml:space="preserve"> more and more complex.  At present there are in effect </w:t>
            </w:r>
            <w:proofErr w:type="gramStart"/>
            <w:r w:rsidR="0094744B" w:rsidRPr="0086583D">
              <w:rPr>
                <w:rFonts w:ascii="Arial" w:eastAsia="Calibri" w:hAnsi="Arial" w:cs="Times New Roman"/>
                <w:sz w:val="23"/>
                <w:lang w:val="en-US"/>
              </w:rPr>
              <w:t>3</w:t>
            </w:r>
            <w:proofErr w:type="gramEnd"/>
            <w:r w:rsidR="0094744B" w:rsidRPr="0086583D">
              <w:rPr>
                <w:rFonts w:ascii="Arial" w:eastAsia="Calibri" w:hAnsi="Arial" w:cs="Times New Roman"/>
                <w:sz w:val="23"/>
                <w:lang w:val="en-US"/>
              </w:rPr>
              <w:t xml:space="preserve"> benefit schemes in operation (1/80</w:t>
            </w:r>
            <w:r w:rsidR="0094744B" w:rsidRPr="0086583D">
              <w:rPr>
                <w:rFonts w:ascii="Arial" w:eastAsia="Calibri" w:hAnsi="Arial" w:cs="Times New Roman"/>
                <w:sz w:val="23"/>
                <w:vertAlign w:val="superscript"/>
                <w:lang w:val="en-US"/>
              </w:rPr>
              <w:t>th</w:t>
            </w:r>
            <w:r w:rsidR="0094744B" w:rsidRPr="0086583D">
              <w:rPr>
                <w:rFonts w:ascii="Arial" w:eastAsia="Calibri" w:hAnsi="Arial" w:cs="Times New Roman"/>
                <w:sz w:val="23"/>
                <w:lang w:val="en-US"/>
              </w:rPr>
              <w:t>, 1/60</w:t>
            </w:r>
            <w:r w:rsidR="0094744B" w:rsidRPr="0086583D">
              <w:rPr>
                <w:rFonts w:ascii="Arial" w:eastAsia="Calibri" w:hAnsi="Arial" w:cs="Times New Roman"/>
                <w:sz w:val="23"/>
                <w:vertAlign w:val="superscript"/>
                <w:lang w:val="en-US"/>
              </w:rPr>
              <w:t>th</w:t>
            </w:r>
            <w:r w:rsidR="0094744B" w:rsidRPr="0086583D">
              <w:rPr>
                <w:rFonts w:ascii="Arial" w:eastAsia="Calibri" w:hAnsi="Arial" w:cs="Times New Roman"/>
                <w:sz w:val="23"/>
                <w:lang w:val="en-US"/>
              </w:rPr>
              <w:t>, 1/49</w:t>
            </w:r>
            <w:r w:rsidR="0094744B" w:rsidRPr="0086583D">
              <w:rPr>
                <w:rFonts w:ascii="Arial" w:eastAsia="Calibri" w:hAnsi="Arial" w:cs="Times New Roman"/>
                <w:sz w:val="23"/>
                <w:vertAlign w:val="superscript"/>
                <w:lang w:val="en-US"/>
              </w:rPr>
              <w:t>th</w:t>
            </w:r>
            <w:r w:rsidR="0094744B" w:rsidRPr="0086583D">
              <w:rPr>
                <w:rFonts w:ascii="Arial" w:eastAsia="Calibri" w:hAnsi="Arial" w:cs="Times New Roman"/>
                <w:sz w:val="23"/>
                <w:lang w:val="en-US"/>
              </w:rPr>
              <w:t>) as well as numerous administering body and employer discretions available through the differing regulations.  This complexity significantly increases operating risks associated with administering benefits.</w:t>
            </w:r>
          </w:p>
          <w:p w:rsidR="0094744B" w:rsidRPr="0086583D" w:rsidRDefault="0094744B" w:rsidP="0086583D">
            <w:pPr>
              <w:pStyle w:val="ListParagraph"/>
              <w:numPr>
                <w:ilvl w:val="0"/>
                <w:numId w:val="15"/>
              </w:numPr>
              <w:spacing w:after="240" w:line="240" w:lineRule="auto"/>
              <w:rPr>
                <w:rFonts w:ascii="Arial" w:eastAsia="Calibri" w:hAnsi="Arial" w:cs="Times New Roman"/>
                <w:sz w:val="23"/>
                <w:lang w:val="en-US"/>
              </w:rPr>
            </w:pPr>
            <w:r w:rsidRPr="0086583D">
              <w:rPr>
                <w:rFonts w:ascii="Arial" w:eastAsia="Calibri" w:hAnsi="Arial" w:cs="Times New Roman"/>
                <w:sz w:val="23"/>
                <w:lang w:val="en-US"/>
              </w:rPr>
              <w:t xml:space="preserve">The introduction of the cost </w:t>
            </w:r>
            <w:proofErr w:type="gramStart"/>
            <w:r w:rsidRPr="0086583D">
              <w:rPr>
                <w:rFonts w:ascii="Arial" w:eastAsia="Calibri" w:hAnsi="Arial" w:cs="Times New Roman"/>
                <w:sz w:val="23"/>
                <w:lang w:val="en-US"/>
              </w:rPr>
              <w:t>cap which may result in further change to benefit regime</w:t>
            </w:r>
            <w:proofErr w:type="gramEnd"/>
            <w:r w:rsidRPr="0086583D">
              <w:rPr>
                <w:rFonts w:ascii="Arial" w:eastAsia="Calibri" w:hAnsi="Arial" w:cs="Times New Roman"/>
                <w:sz w:val="23"/>
                <w:lang w:val="en-US"/>
              </w:rPr>
              <w:t xml:space="preserve"> will only complicate this further.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86583D">
              <w:rPr>
                <w:rFonts w:ascii="Arial" w:eastAsia="Calibri" w:hAnsi="Arial" w:cs="Times New Roman"/>
                <w:sz w:val="23"/>
                <w:lang w:val="en-US"/>
              </w:rPr>
              <w:t xml:space="preserve"> </w:t>
            </w:r>
            <w:r w:rsidRPr="0086583D">
              <w:rPr>
                <w:rFonts w:ascii="Arial" w:eastAsia="Calibri" w:hAnsi="Arial" w:cs="Times New Roman"/>
                <w:sz w:val="23"/>
                <w:lang w:val="en-US"/>
              </w:rPr>
              <w:t xml:space="preserve">would support any means of simplification of LGPS benefits and discretions to enable greater </w:t>
            </w:r>
            <w:proofErr w:type="spellStart"/>
            <w:r w:rsidRPr="0086583D">
              <w:rPr>
                <w:rFonts w:ascii="Arial" w:eastAsia="Calibri" w:hAnsi="Arial" w:cs="Times New Roman"/>
                <w:sz w:val="23"/>
                <w:lang w:val="en-US"/>
              </w:rPr>
              <w:t>standardisation</w:t>
            </w:r>
            <w:proofErr w:type="spellEnd"/>
            <w:r w:rsidRPr="0086583D">
              <w:rPr>
                <w:rFonts w:ascii="Arial" w:eastAsia="Calibri" w:hAnsi="Arial" w:cs="Times New Roman"/>
                <w:sz w:val="23"/>
                <w:lang w:val="en-US"/>
              </w:rPr>
              <w:t xml:space="preserve"> in administration and thus better management of risk.</w:t>
            </w:r>
          </w:p>
          <w:p w:rsidR="0094744B" w:rsidRPr="0094744B" w:rsidRDefault="0094744B" w:rsidP="0094744B">
            <w:pPr>
              <w:numPr>
                <w:ilvl w:val="0"/>
                <w:numId w:val="5"/>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Infrastructure: </w:t>
            </w:r>
          </w:p>
          <w:p w:rsidR="0094744B" w:rsidRPr="0094744B" w:rsidRDefault="0094744B" w:rsidP="0094744B">
            <w:pPr>
              <w:spacing w:after="240" w:line="240" w:lineRule="auto"/>
              <w:ind w:left="720" w:hanging="360"/>
              <w:rPr>
                <w:rFonts w:ascii="Arial" w:eastAsia="Calibri" w:hAnsi="Arial" w:cs="Times New Roman"/>
                <w:i/>
                <w:sz w:val="23"/>
                <w:lang w:val="en-US"/>
              </w:rPr>
            </w:pPr>
            <w:proofErr w:type="gramStart"/>
            <w:r w:rsidRPr="0094744B">
              <w:rPr>
                <w:rFonts w:ascii="Arial" w:eastAsia="Calibri" w:hAnsi="Arial" w:cs="Times New Roman"/>
                <w:i/>
                <w:sz w:val="23"/>
                <w:lang w:val="en-US"/>
              </w:rPr>
              <w:t>How well informed do you feel about your fund’s investments in infrastructure?</w:t>
            </w:r>
            <w:proofErr w:type="gramEnd"/>
            <w:r w:rsidRPr="0094744B">
              <w:rPr>
                <w:rFonts w:ascii="Arial" w:eastAsia="Calibri" w:hAnsi="Arial" w:cs="Times New Roman"/>
                <w:i/>
                <w:sz w:val="23"/>
                <w:lang w:val="en-US"/>
              </w:rPr>
              <w:t xml:space="preserve"> What information do you rely on?</w:t>
            </w:r>
          </w:p>
          <w:p w:rsidR="0086583D" w:rsidRDefault="004D5B0F" w:rsidP="0086583D">
            <w:pPr>
              <w:pStyle w:val="ListParagraph"/>
              <w:numPr>
                <w:ilvl w:val="0"/>
                <w:numId w:val="16"/>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aware that TPF have ability within investment strategy to allocate 10% of fund to local and alternative opportunities, of which infrastructure forms part </w:t>
            </w:r>
            <w:proofErr w:type="gramStart"/>
            <w:r w:rsidR="0094744B" w:rsidRPr="0086583D">
              <w:rPr>
                <w:rFonts w:ascii="Arial" w:eastAsia="Calibri" w:hAnsi="Arial" w:cs="Times New Roman"/>
                <w:sz w:val="23"/>
                <w:lang w:val="en-US"/>
              </w:rPr>
              <w:t>of</w:t>
            </w:r>
            <w:proofErr w:type="gramEnd"/>
            <w:r w:rsidR="0094744B" w:rsidRPr="0086583D">
              <w:rPr>
                <w:rFonts w:ascii="Arial" w:eastAsia="Calibri" w:hAnsi="Arial" w:cs="Times New Roman"/>
                <w:sz w:val="23"/>
                <w:lang w:val="en-US"/>
              </w:rPr>
              <w:t xml:space="preserve">.  </w:t>
            </w:r>
          </w:p>
          <w:p w:rsidR="0094744B" w:rsidRPr="0086583D" w:rsidRDefault="004D5B0F" w:rsidP="0086583D">
            <w:pPr>
              <w:pStyle w:val="ListParagraph"/>
              <w:numPr>
                <w:ilvl w:val="0"/>
                <w:numId w:val="16"/>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also aware that TPF have engaged KPMG (TPF investment advisors) to assess market conditions in line with the risk and return profile and requirements of the fund to develop a bespoke strategy to progress investment within this broader asset class.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do you rate the current system’s ability to invest in infrastructure? </w:t>
            </w:r>
          </w:p>
          <w:p w:rsidR="0094744B" w:rsidRPr="0086583D" w:rsidRDefault="004D5B0F" w:rsidP="0086583D">
            <w:pPr>
              <w:pStyle w:val="ListParagraph"/>
              <w:numPr>
                <w:ilvl w:val="0"/>
                <w:numId w:val="16"/>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0094744B" w:rsidRPr="0086583D">
              <w:rPr>
                <w:rFonts w:ascii="Arial" w:eastAsia="Calibri" w:hAnsi="Arial" w:cs="Times New Roman"/>
                <w:sz w:val="23"/>
                <w:lang w:val="en-US"/>
              </w:rPr>
              <w:t xml:space="preserve"> believe that infrastructure investment requires a sound understanding of risk, return and governance characteristics.  In terms of size,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aware that TPF are not constrained as big enough to support </w:t>
            </w:r>
            <w:proofErr w:type="gramStart"/>
            <w:r w:rsidR="0094744B" w:rsidRPr="0086583D">
              <w:rPr>
                <w:rFonts w:ascii="Arial" w:eastAsia="Calibri" w:hAnsi="Arial" w:cs="Times New Roman"/>
                <w:sz w:val="23"/>
                <w:lang w:val="en-US"/>
              </w:rPr>
              <w:t>large scale</w:t>
            </w:r>
            <w:proofErr w:type="gramEnd"/>
            <w:r w:rsidR="0094744B" w:rsidRPr="0086583D">
              <w:rPr>
                <w:rFonts w:ascii="Arial" w:eastAsia="Calibri" w:hAnsi="Arial" w:cs="Times New Roman"/>
                <w:sz w:val="23"/>
                <w:lang w:val="en-US"/>
              </w:rPr>
              <w:t xml:space="preserve"> investment, but are aware that infrastructure is relatively illiquid, supply-constrained and expensive, so believe that care and caution must be exercised.</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How would you increase investment in infrastructure in the current system? </w:t>
            </w:r>
          </w:p>
          <w:p w:rsidR="0094744B" w:rsidRPr="0086583D" w:rsidRDefault="004D5B0F" w:rsidP="0086583D">
            <w:pPr>
              <w:pStyle w:val="ListParagraph"/>
              <w:numPr>
                <w:ilvl w:val="0"/>
                <w:numId w:val="16"/>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believe that investment in infrastructure could increase if the supply of attractive opportunities increased, or the risk/return characteristics were improved.  More simple investment structures would also assist.</w:t>
            </w:r>
          </w:p>
          <w:p w:rsidR="0094744B" w:rsidRPr="0094744B" w:rsidRDefault="0094744B" w:rsidP="0094744B">
            <w:pPr>
              <w:numPr>
                <w:ilvl w:val="0"/>
                <w:numId w:val="5"/>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86583D" w:rsidRDefault="004D5B0F" w:rsidP="0086583D">
            <w:pPr>
              <w:pStyle w:val="ListParagraph"/>
              <w:numPr>
                <w:ilvl w:val="0"/>
                <w:numId w:val="1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 xml:space="preserve">believe that it is worth re-iterating that the LGPS in Scotland is a success story.  Funds have solid and stable management and their </w:t>
            </w:r>
            <w:r w:rsidR="0094744B" w:rsidRPr="0086583D">
              <w:rPr>
                <w:rFonts w:ascii="Arial" w:eastAsia="Calibri" w:hAnsi="Arial" w:cs="Times New Roman"/>
                <w:sz w:val="23"/>
              </w:rPr>
              <w:lastRenderedPageBreak/>
              <w:t xml:space="preserve">closeness to their own stakeholders has enabled investment strategies to </w:t>
            </w:r>
            <w:proofErr w:type="gramStart"/>
            <w:r w:rsidR="0094744B" w:rsidRPr="0086583D">
              <w:rPr>
                <w:rFonts w:ascii="Arial" w:eastAsia="Calibri" w:hAnsi="Arial" w:cs="Times New Roman"/>
                <w:sz w:val="23"/>
              </w:rPr>
              <w:t>be tailored</w:t>
            </w:r>
            <w:proofErr w:type="gramEnd"/>
            <w:r w:rsidR="0094744B" w:rsidRPr="0086583D">
              <w:rPr>
                <w:rFonts w:ascii="Arial" w:eastAsia="Calibri" w:hAnsi="Arial" w:cs="Times New Roman"/>
                <w:sz w:val="23"/>
              </w:rPr>
              <w:t xml:space="preserve"> to the needs of individual funds in meeting their liabilities.</w:t>
            </w:r>
          </w:p>
          <w:p w:rsidR="0094744B" w:rsidRPr="0086583D" w:rsidRDefault="0094744B" w:rsidP="0086583D">
            <w:pPr>
              <w:pStyle w:val="ListParagraph"/>
              <w:numPr>
                <w:ilvl w:val="0"/>
                <w:numId w:val="16"/>
              </w:numPr>
              <w:spacing w:after="240" w:line="240" w:lineRule="auto"/>
              <w:rPr>
                <w:rFonts w:ascii="Arial" w:eastAsia="Calibri" w:hAnsi="Arial" w:cs="Times New Roman"/>
                <w:sz w:val="23"/>
              </w:rPr>
            </w:pPr>
            <w:r w:rsidRPr="0086583D">
              <w:rPr>
                <w:rFonts w:ascii="Arial" w:eastAsia="Calibri" w:hAnsi="Arial" w:cs="Times New Roman"/>
                <w:sz w:val="23"/>
              </w:rPr>
              <w:t xml:space="preserve">The Scottish funds are all close to or above 100% funded meaning that their primary objective </w:t>
            </w:r>
            <w:proofErr w:type="gramStart"/>
            <w:r w:rsidRPr="0086583D">
              <w:rPr>
                <w:rFonts w:ascii="Arial" w:eastAsia="Calibri" w:hAnsi="Arial" w:cs="Times New Roman"/>
                <w:sz w:val="23"/>
              </w:rPr>
              <w:t>has been achieved</w:t>
            </w:r>
            <w:proofErr w:type="gramEnd"/>
            <w:r w:rsidRPr="0086583D">
              <w:rPr>
                <w:rFonts w:ascii="Arial" w:eastAsia="Calibri" w:hAnsi="Arial" w:cs="Times New Roman"/>
                <w:sz w:val="23"/>
              </w:rPr>
              <w:t xml:space="preserve">. The LGPS in Scotland </w:t>
            </w:r>
            <w:proofErr w:type="gramStart"/>
            <w:r w:rsidRPr="0086583D">
              <w:rPr>
                <w:rFonts w:ascii="Arial" w:eastAsia="Calibri" w:hAnsi="Arial" w:cs="Times New Roman"/>
                <w:sz w:val="23"/>
              </w:rPr>
              <w:t>has for very many years been better funded</w:t>
            </w:r>
            <w:proofErr w:type="gramEnd"/>
            <w:r w:rsidRPr="0086583D">
              <w:rPr>
                <w:rFonts w:ascii="Arial" w:eastAsia="Calibri" w:hAnsi="Arial" w:cs="Times New Roman"/>
                <w:sz w:val="23"/>
              </w:rPr>
              <w:t xml:space="preserve"> than its equivalent in England and the rest of the UK.  The Government Actuary Department’s (GAD) Section 13 report analysed all Scottish funds on a standard basis demonstrates this strong position, but also that fund’s don’t necessarily have to be big to be successful.  The following graph over the page by GAD provides further evidence.</w:t>
            </w:r>
            <w:r w:rsidRPr="0094744B">
              <w:rPr>
                <w:noProof/>
                <w:lang w:eastAsia="en-GB"/>
              </w:rPr>
              <w:drawing>
                <wp:inline distT="0" distB="0" distL="0" distR="0">
                  <wp:extent cx="464820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3124200"/>
                          </a:xfrm>
                          <a:prstGeom prst="rect">
                            <a:avLst/>
                          </a:prstGeom>
                          <a:noFill/>
                          <a:ln>
                            <a:noFill/>
                          </a:ln>
                        </pic:spPr>
                      </pic:pic>
                    </a:graphicData>
                  </a:graphic>
                </wp:inline>
              </w:drawing>
            </w:r>
          </w:p>
          <w:p w:rsidR="0094744B" w:rsidRPr="0086583D" w:rsidRDefault="004D5B0F" w:rsidP="0086583D">
            <w:pPr>
              <w:pStyle w:val="ListParagraph"/>
              <w:numPr>
                <w:ilvl w:val="0"/>
                <w:numId w:val="1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 xml:space="preserve">do not believe that the evidence above is in line with implications that the Scottish local government pension scheme </w:t>
            </w:r>
            <w:proofErr w:type="gramStart"/>
            <w:r w:rsidR="0094744B" w:rsidRPr="0086583D">
              <w:rPr>
                <w:rFonts w:ascii="Arial" w:eastAsia="Calibri" w:hAnsi="Arial" w:cs="Times New Roman"/>
                <w:sz w:val="23"/>
              </w:rPr>
              <w:t>is not well managed</w:t>
            </w:r>
            <w:proofErr w:type="gramEnd"/>
            <w:r w:rsidR="0094744B" w:rsidRPr="0086583D">
              <w:rPr>
                <w:rFonts w:ascii="Arial" w:eastAsia="Calibri" w:hAnsi="Arial" w:cs="Times New Roman"/>
                <w:sz w:val="23"/>
              </w:rPr>
              <w:t>, or providing value for money.</w:t>
            </w:r>
          </w:p>
          <w:p w:rsidR="0094744B" w:rsidRPr="0086583D" w:rsidRDefault="004D5B0F" w:rsidP="0086583D">
            <w:pPr>
              <w:pStyle w:val="ListParagraph"/>
              <w:numPr>
                <w:ilvl w:val="0"/>
                <w:numId w:val="1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believe that Funds will need to adapt to address the challenges identified within the Scheme Advisory Board report, but these challenges do not stem from the current structure, and revising the structure is unlikely to be a panacea for them.</w:t>
            </w: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br w:type="page"/>
              <w:t>Question 2: Promote cooperation in investing and administration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investment costs?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think that this is potentially the largest area that could deliver improvements both in terms of costs and in quality of performance.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Financial savings (fees and services)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lastRenderedPageBreak/>
              <w:t>Better information to facilitate more informed decision making</w:t>
            </w:r>
          </w:p>
          <w:p w:rsid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Reduced resource requirements across all funds</w:t>
            </w:r>
          </w:p>
          <w:p w:rsidR="0086583D" w:rsidRPr="0094744B" w:rsidRDefault="0086583D" w:rsidP="0086583D">
            <w:pPr>
              <w:spacing w:after="240" w:line="240" w:lineRule="auto"/>
              <w:ind w:left="1080"/>
              <w:contextualSpacing/>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None.</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Governance: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governance?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 significant impact on individual governance structures, but may lead to better outcomes.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Reduced duplication of governance effort. Improved collective governance of the scheme, creating a more collaborative culture across funds.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 negative impacts, but the need to co-ordinate activity and decision-making could be a complication until such arrangements bed down.</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operating risks? </w:t>
            </w:r>
          </w:p>
          <w:p w:rsidR="0094744B" w:rsidRDefault="0094744B" w:rsidP="0094744B">
            <w:pPr>
              <w:autoSpaceDE w:val="0"/>
              <w:autoSpaceDN w:val="0"/>
              <w:adjustRightInd w:val="0"/>
              <w:spacing w:after="0" w:line="240" w:lineRule="auto"/>
              <w:rPr>
                <w:rFonts w:ascii="Arial" w:eastAsia="Calibri" w:hAnsi="Arial" w:cs="Arial"/>
                <w:color w:val="000000"/>
                <w:sz w:val="23"/>
                <w:szCs w:val="23"/>
              </w:rPr>
            </w:pPr>
            <w:r w:rsidRPr="0094744B">
              <w:rPr>
                <w:rFonts w:ascii="Arial" w:eastAsia="Calibri" w:hAnsi="Arial" w:cs="Arial"/>
                <w:color w:val="000000"/>
                <w:sz w:val="23"/>
                <w:szCs w:val="23"/>
              </w:rPr>
              <w:t>None</w:t>
            </w:r>
          </w:p>
          <w:p w:rsidR="0086583D" w:rsidRPr="0094744B" w:rsidRDefault="0086583D"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autoSpaceDE w:val="0"/>
              <w:autoSpaceDN w:val="0"/>
              <w:adjustRightInd w:val="0"/>
              <w:spacing w:after="0" w:line="240" w:lineRule="auto"/>
              <w:rPr>
                <w:rFonts w:ascii="Arial" w:eastAsia="Calibri" w:hAnsi="Arial" w:cs="Arial"/>
                <w:color w:val="000000"/>
                <w:sz w:val="23"/>
                <w:szCs w:val="23"/>
              </w:rPr>
            </w:pPr>
            <w:r w:rsidRPr="0094744B">
              <w:rPr>
                <w:rFonts w:ascii="Arial" w:eastAsia="Calibri" w:hAnsi="Arial" w:cs="Arial"/>
                <w:color w:val="000000"/>
                <w:sz w:val="23"/>
                <w:szCs w:val="23"/>
              </w:rPr>
              <w:t xml:space="preserve">Could have positive impact in relation to managing risks across the funds. </w:t>
            </w:r>
          </w:p>
          <w:p w:rsidR="0094744B" w:rsidRPr="0094744B" w:rsidRDefault="0094744B" w:rsidP="0094744B">
            <w:pPr>
              <w:autoSpaceDE w:val="0"/>
              <w:autoSpaceDN w:val="0"/>
              <w:adjustRightInd w:val="0"/>
              <w:spacing w:after="0" w:line="240" w:lineRule="auto"/>
              <w:rPr>
                <w:rFonts w:ascii="Arial" w:eastAsia="Calibri" w:hAnsi="Arial" w:cs="Arial"/>
                <w:color w:val="000000"/>
                <w:sz w:val="24"/>
                <w:szCs w:val="23"/>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None </w:t>
            </w:r>
          </w:p>
          <w:p w:rsidR="0094744B" w:rsidRPr="0094744B" w:rsidRDefault="0094744B" w:rsidP="0094744B">
            <w:pPr>
              <w:spacing w:after="240" w:line="240" w:lineRule="auto"/>
              <w:rPr>
                <w:rFonts w:ascii="Arial" w:eastAsia="Calibri" w:hAnsi="Arial" w:cs="Times New Roman"/>
                <w:sz w:val="23"/>
                <w:u w:val="single"/>
              </w:rPr>
            </w:pPr>
            <w:r w:rsidRPr="0094744B">
              <w:rPr>
                <w:rFonts w:ascii="Arial" w:eastAsia="Calibri" w:hAnsi="Arial" w:cs="Times New Roman"/>
                <w:sz w:val="23"/>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promoting agreements between funds would have on funds’ ability to invest in infrastructure? </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Ability for funds without experience in alternative asset classes to benefit from the experience and expertise of others.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Reduced costs of legal, consultancy and due diligence required.</w:t>
            </w:r>
          </w:p>
          <w:p w:rsidR="0094744B" w:rsidRDefault="0094744B" w:rsidP="0094744B">
            <w:pPr>
              <w:numPr>
                <w:ilvl w:val="1"/>
                <w:numId w:val="6"/>
              </w:numPr>
              <w:spacing w:after="240" w:line="240" w:lineRule="auto"/>
              <w:contextualSpacing/>
              <w:rPr>
                <w:rFonts w:ascii="Arial" w:eastAsia="Calibri" w:hAnsi="Arial" w:cs="Times New Roman"/>
                <w:sz w:val="23"/>
                <w:lang w:val="en-US"/>
              </w:rPr>
            </w:pPr>
            <w:proofErr w:type="spellStart"/>
            <w:r w:rsidRPr="0094744B">
              <w:rPr>
                <w:rFonts w:ascii="Arial" w:eastAsia="Calibri" w:hAnsi="Arial" w:cs="Times New Roman"/>
                <w:sz w:val="23"/>
                <w:lang w:val="en-US"/>
              </w:rPr>
              <w:t>Standardised</w:t>
            </w:r>
            <w:proofErr w:type="spellEnd"/>
            <w:r w:rsidRPr="0094744B">
              <w:rPr>
                <w:rFonts w:ascii="Arial" w:eastAsia="Calibri" w:hAnsi="Arial" w:cs="Times New Roman"/>
                <w:sz w:val="23"/>
                <w:lang w:val="en-US"/>
              </w:rPr>
              <w:t xml:space="preserve"> and potentially better quality information to facilitate more informed, and better decision making</w:t>
            </w:r>
          </w:p>
          <w:p w:rsidR="0086583D" w:rsidRPr="0094744B" w:rsidRDefault="0086583D" w:rsidP="0086583D">
            <w:pPr>
              <w:spacing w:after="240" w:line="240" w:lineRule="auto"/>
              <w:ind w:left="1080"/>
              <w:contextualSpacing/>
              <w:rPr>
                <w:rFonts w:ascii="Arial" w:eastAsia="Calibri" w:hAnsi="Arial" w:cs="Times New Roman"/>
                <w:sz w:val="23"/>
                <w:lang w:val="en-US"/>
              </w:rPr>
            </w:pP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lastRenderedPageBreak/>
              <w:t>Potential financial savings, and facilitating wider diversification across asset classes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None</w:t>
            </w:r>
          </w:p>
          <w:p w:rsidR="0094744B" w:rsidRPr="0094744B" w:rsidRDefault="0094744B" w:rsidP="0094744B">
            <w:pPr>
              <w:numPr>
                <w:ilvl w:val="0"/>
                <w:numId w:val="3"/>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86583D" w:rsidRDefault="004D5B0F" w:rsidP="0086583D">
            <w:pPr>
              <w:pStyle w:val="ListParagraph"/>
              <w:numPr>
                <w:ilvl w:val="0"/>
                <w:numId w:val="17"/>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is aware that there is already significant co-operation between the Scottish funds and that a wider LGPS network already exists.</w:t>
            </w:r>
          </w:p>
          <w:p w:rsidR="0094744B" w:rsidRPr="0086583D" w:rsidRDefault="004D5B0F" w:rsidP="0086583D">
            <w:pPr>
              <w:pStyle w:val="ListParagraph"/>
              <w:numPr>
                <w:ilvl w:val="0"/>
                <w:numId w:val="17"/>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is aware that the LGPS (UK) National Frameworks in place are widely used for a range of services including actuarial, investment consultancy, stewardship, global custody, performance and cost monitoring, legal, transition management and third party administration services.</w:t>
            </w:r>
          </w:p>
          <w:p w:rsidR="0094744B" w:rsidRPr="0086583D" w:rsidRDefault="004D5B0F" w:rsidP="0086583D">
            <w:pPr>
              <w:pStyle w:val="ListParagraph"/>
              <w:numPr>
                <w:ilvl w:val="0"/>
                <w:numId w:val="17"/>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 xml:space="preserve">is also aware of Scottish LGPS framework agreements that </w:t>
            </w:r>
            <w:proofErr w:type="gramStart"/>
            <w:r w:rsidR="0094744B" w:rsidRPr="0086583D">
              <w:rPr>
                <w:rFonts w:ascii="Arial" w:eastAsia="Calibri" w:hAnsi="Arial" w:cs="Times New Roman"/>
                <w:sz w:val="23"/>
              </w:rPr>
              <w:t>have been put</w:t>
            </w:r>
            <w:proofErr w:type="gramEnd"/>
            <w:r w:rsidR="0094744B" w:rsidRPr="0086583D">
              <w:rPr>
                <w:rFonts w:ascii="Arial" w:eastAsia="Calibri" w:hAnsi="Arial" w:cs="Times New Roman"/>
                <w:sz w:val="23"/>
              </w:rPr>
              <w:t xml:space="preserve"> in place for portfolio management, member tracing, and scheme administration, and that the introduction of LGPS 2015, and the associated member and employer communications, was a large-scale collaborative exercise between all the Scottish funds.</w:t>
            </w:r>
          </w:p>
          <w:p w:rsidR="0094744B" w:rsidRPr="0086583D" w:rsidRDefault="004D5B0F" w:rsidP="0086583D">
            <w:pPr>
              <w:pStyle w:val="ListParagraph"/>
              <w:numPr>
                <w:ilvl w:val="0"/>
                <w:numId w:val="17"/>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rPr>
              <w:t xml:space="preserve"> </w:t>
            </w:r>
            <w:r w:rsidR="0094744B" w:rsidRPr="0086583D">
              <w:rPr>
                <w:rFonts w:ascii="Arial" w:eastAsia="Calibri" w:hAnsi="Arial" w:cs="Times New Roman"/>
                <w:sz w:val="23"/>
              </w:rPr>
              <w:t>however believe that there is undoubtedly scope and willingness to build further on these initiatives.</w:t>
            </w:r>
          </w:p>
          <w:p w:rsidR="0094744B" w:rsidRPr="0094744B" w:rsidRDefault="0094744B" w:rsidP="0094744B">
            <w:pPr>
              <w:spacing w:after="240" w:line="240" w:lineRule="auto"/>
              <w:rPr>
                <w:rFonts w:ascii="Arial" w:eastAsia="Calibri" w:hAnsi="Arial" w:cs="Times New Roman"/>
                <w:sz w:val="23"/>
              </w:rPr>
            </w:pPr>
          </w:p>
        </w:tc>
      </w:tr>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lastRenderedPageBreak/>
              <w:t>Question 3: Pool investments between the 11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the cost of investing? </w:t>
            </w:r>
          </w:p>
          <w:p w:rsidR="0086583D" w:rsidRDefault="004D5B0F" w:rsidP="0086583D">
            <w:pPr>
              <w:pStyle w:val="ListParagraph"/>
              <w:numPr>
                <w:ilvl w:val="0"/>
                <w:numId w:val="18"/>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aware that TPF already enjoys significant benefits of scale and is very effective in ensuring lowest cost investment fees as demonstrated in independent assessments by Audit Scotland, therefore believe that further efficiencies in existing mandates are unlikely to </w:t>
            </w:r>
            <w:proofErr w:type="gramStart"/>
            <w:r w:rsidR="0094744B" w:rsidRPr="0086583D">
              <w:rPr>
                <w:rFonts w:ascii="Arial" w:eastAsia="Calibri" w:hAnsi="Arial" w:cs="Times New Roman"/>
                <w:sz w:val="23"/>
                <w:lang w:val="en-US"/>
              </w:rPr>
              <w:t>be achieved</w:t>
            </w:r>
            <w:proofErr w:type="gramEnd"/>
            <w:r w:rsidR="0094744B" w:rsidRPr="0086583D">
              <w:rPr>
                <w:rFonts w:ascii="Arial" w:eastAsia="Calibri" w:hAnsi="Arial" w:cs="Times New Roman"/>
                <w:sz w:val="23"/>
                <w:lang w:val="en-US"/>
              </w:rPr>
              <w:t xml:space="preserve"> through adding further scale.   </w:t>
            </w:r>
          </w:p>
          <w:p w:rsidR="0094744B" w:rsidRPr="0086583D" w:rsidRDefault="004D5B0F" w:rsidP="0086583D">
            <w:pPr>
              <w:pStyle w:val="ListParagraph"/>
              <w:numPr>
                <w:ilvl w:val="0"/>
                <w:numId w:val="18"/>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of the opinion that pooling would be detrimental to the TPF investment </w:t>
            </w:r>
            <w:proofErr w:type="gramStart"/>
            <w:r w:rsidR="0094744B" w:rsidRPr="0086583D">
              <w:rPr>
                <w:rFonts w:ascii="Arial" w:eastAsia="Calibri" w:hAnsi="Arial" w:cs="Times New Roman"/>
                <w:sz w:val="23"/>
                <w:lang w:val="en-US"/>
              </w:rPr>
              <w:t>strategy</w:t>
            </w:r>
            <w:proofErr w:type="gramEnd"/>
            <w:r w:rsidR="0094744B" w:rsidRPr="0086583D">
              <w:rPr>
                <w:rFonts w:ascii="Arial" w:eastAsia="Calibri" w:hAnsi="Arial" w:cs="Times New Roman"/>
                <w:sz w:val="23"/>
                <w:lang w:val="en-US"/>
              </w:rPr>
              <w:t xml:space="preserve"> as it would result in limiting the ability to meet investment objectives.  Investment mandates are specifically selected in order to complement each other with the aims of  achieving the required investment objectives to provide adequate returns (at an acceptable level of risk) to meet the overall TPF pension liabilities.  </w:t>
            </w:r>
          </w:p>
          <w:p w:rsidR="0094744B" w:rsidRPr="0086583D" w:rsidRDefault="004D5B0F" w:rsidP="0086583D">
            <w:pPr>
              <w:pStyle w:val="ListParagraph"/>
              <w:numPr>
                <w:ilvl w:val="0"/>
                <w:numId w:val="18"/>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that there would be an additional layer of bureaucracy and cost, as well as a loss in ability to make the optimal investment decisions for the benefit of the funds members and employers.  This could have significant impact on the level of contributions that </w:t>
            </w:r>
            <w:proofErr w:type="gramStart"/>
            <w:r w:rsidR="0094744B" w:rsidRPr="0086583D">
              <w:rPr>
                <w:rFonts w:ascii="Arial" w:eastAsia="Calibri" w:hAnsi="Arial" w:cs="Times New Roman"/>
                <w:sz w:val="23"/>
                <w:lang w:val="en-US"/>
              </w:rPr>
              <w:t>are currently paid</w:t>
            </w:r>
            <w:proofErr w:type="gramEnd"/>
            <w:r w:rsidR="0094744B" w:rsidRPr="0086583D">
              <w:rPr>
                <w:rFonts w:ascii="Arial" w:eastAsia="Calibri" w:hAnsi="Arial" w:cs="Times New Roman"/>
                <w:sz w:val="23"/>
                <w:lang w:val="en-US"/>
              </w:rPr>
              <w:t xml:space="preserve">, therefore increasing the cost to employer.  The lower the contribution, the more reassurance that employers have both returns are adequate and costs are controlled.  To this,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is comfortable with having the </w:t>
            </w:r>
            <w:proofErr w:type="gramStart"/>
            <w:r w:rsidR="0094744B" w:rsidRPr="0086583D">
              <w:rPr>
                <w:rFonts w:ascii="Arial" w:eastAsia="Calibri" w:hAnsi="Arial" w:cs="Times New Roman"/>
                <w:sz w:val="23"/>
                <w:lang w:val="en-US"/>
              </w:rPr>
              <w:t>2</w:t>
            </w:r>
            <w:r w:rsidR="0094744B" w:rsidRPr="0086583D">
              <w:rPr>
                <w:rFonts w:ascii="Arial" w:eastAsia="Calibri" w:hAnsi="Arial" w:cs="Times New Roman"/>
                <w:sz w:val="23"/>
                <w:vertAlign w:val="superscript"/>
                <w:lang w:val="en-US"/>
              </w:rPr>
              <w:t>nd</w:t>
            </w:r>
            <w:proofErr w:type="gramEnd"/>
            <w:r w:rsidR="0094744B" w:rsidRPr="0086583D">
              <w:rPr>
                <w:rFonts w:ascii="Arial" w:eastAsia="Calibri" w:hAnsi="Arial" w:cs="Times New Roman"/>
                <w:sz w:val="23"/>
                <w:lang w:val="en-US"/>
              </w:rPr>
              <w:t xml:space="preserve"> lowest contribution rate within the Scottish LGPS at 17%.</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lastRenderedPageBreak/>
              <w:t>The complex pool structures in England and Wales demonstrate this additional bureaucracy and costs: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drawing>
                <wp:inline distT="0" distB="0" distL="0" distR="0">
                  <wp:extent cx="5553075" cy="3771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3771900"/>
                          </a:xfrm>
                          <a:prstGeom prst="rect">
                            <a:avLst/>
                          </a:prstGeom>
                          <a:noFill/>
                          <a:ln>
                            <a:noFill/>
                          </a:ln>
                        </pic:spPr>
                      </pic:pic>
                    </a:graphicData>
                  </a:graphic>
                </wp:inline>
              </w:drawing>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noProof/>
                <w:sz w:val="23"/>
                <w:lang w:eastAsia="en-GB"/>
              </w:rPr>
              <w:drawing>
                <wp:inline distT="0" distB="0" distL="0" distR="0">
                  <wp:extent cx="573405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448050"/>
                          </a:xfrm>
                          <a:prstGeom prst="rect">
                            <a:avLst/>
                          </a:prstGeom>
                          <a:noFill/>
                          <a:ln>
                            <a:noFill/>
                          </a:ln>
                        </pic:spPr>
                      </pic:pic>
                    </a:graphicData>
                  </a:graphic>
                </wp:inline>
              </w:drawing>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any positive impacts to be unlikely, but believe the costs to be significant.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What would be the negative impacts?</w:t>
            </w:r>
          </w:p>
          <w:p w:rsidR="0094744B" w:rsidRPr="0086583D" w:rsidRDefault="004D5B0F" w:rsidP="0086583D">
            <w:pPr>
              <w:pStyle w:val="ListParagraph"/>
              <w:numPr>
                <w:ilvl w:val="0"/>
                <w:numId w:val="19"/>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that reducing cost is only a positive impact if it improves net returns, and there is no evidence that costs </w:t>
            </w:r>
            <w:proofErr w:type="gramStart"/>
            <w:r w:rsidR="0094744B" w:rsidRPr="0086583D">
              <w:rPr>
                <w:rFonts w:ascii="Arial" w:eastAsia="Calibri" w:hAnsi="Arial" w:cs="Times New Roman"/>
                <w:sz w:val="23"/>
                <w:lang w:val="en-US"/>
              </w:rPr>
              <w:t>have actually been reduced</w:t>
            </w:r>
            <w:proofErr w:type="gramEnd"/>
            <w:r w:rsidR="0094744B" w:rsidRPr="0086583D">
              <w:rPr>
                <w:rFonts w:ascii="Arial" w:eastAsia="Calibri" w:hAnsi="Arial" w:cs="Times New Roman"/>
                <w:sz w:val="23"/>
                <w:lang w:val="en-US"/>
              </w:rPr>
              <w:t xml:space="preserve"> in England and Wales. Cost reduction through pooling would be a negative if it led to a restricted choice of investment options, and reduced returns or increased risk.</w:t>
            </w:r>
          </w:p>
          <w:p w:rsidR="0086583D" w:rsidRDefault="004D5B0F" w:rsidP="0094744B">
            <w:pPr>
              <w:pStyle w:val="ListParagraph"/>
              <w:numPr>
                <w:ilvl w:val="0"/>
                <w:numId w:val="19"/>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the ultimate negative impact would be when restricted choice led to reduced returns and failure </w:t>
            </w:r>
            <w:proofErr w:type="gramStart"/>
            <w:r w:rsidR="0094744B" w:rsidRPr="0086583D">
              <w:rPr>
                <w:rFonts w:ascii="Arial" w:eastAsia="Calibri" w:hAnsi="Arial" w:cs="Times New Roman"/>
                <w:sz w:val="23"/>
                <w:lang w:val="en-US"/>
              </w:rPr>
              <w:t>to best meet</w:t>
            </w:r>
            <w:proofErr w:type="gramEnd"/>
            <w:r w:rsidR="0094744B" w:rsidRPr="0086583D">
              <w:rPr>
                <w:rFonts w:ascii="Arial" w:eastAsia="Calibri" w:hAnsi="Arial" w:cs="Times New Roman"/>
                <w:sz w:val="23"/>
                <w:lang w:val="en-US"/>
              </w:rPr>
              <w:t xml:space="preserve"> the investment objectives of the funds members and employers, and there was a detrimental impact on the funding level and subsequently on employer contribution.  </w:t>
            </w:r>
          </w:p>
          <w:p w:rsidR="0094744B" w:rsidRPr="0094744B" w:rsidRDefault="0094744B" w:rsidP="0094744B">
            <w:pPr>
              <w:pStyle w:val="ListParagraph"/>
              <w:numPr>
                <w:ilvl w:val="0"/>
                <w:numId w:val="19"/>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The risk that employers may not be able to accommodate any rise in contribution rates, and whilst a change in structure should not affect members benefits directly, if investment returns are significantly lower, this may occur (as has been the case for the University Superannuation Scheme).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If asset pooling were possible, under what circumstances should a fund consider joining an asset pool?</w:t>
            </w:r>
          </w:p>
          <w:p w:rsidR="0086583D" w:rsidRDefault="004D5B0F" w:rsidP="0086583D">
            <w:pPr>
              <w:pStyle w:val="ListParagraph"/>
              <w:numPr>
                <w:ilvl w:val="0"/>
                <w:numId w:val="19"/>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 xml:space="preserve">believe that a fund should only be embarking upon this arrangement if stakeholders unanimously believed that the decision to pool is in the best interests of their members to whom they have fiduciary duty to act in their best interest.  </w:t>
            </w:r>
          </w:p>
          <w:p w:rsidR="0094744B" w:rsidRPr="0086583D" w:rsidRDefault="004D5B0F" w:rsidP="0086583D">
            <w:pPr>
              <w:pStyle w:val="ListParagraph"/>
              <w:numPr>
                <w:ilvl w:val="0"/>
                <w:numId w:val="19"/>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86583D">
              <w:rPr>
                <w:rFonts w:ascii="Arial" w:eastAsia="Calibri" w:hAnsi="Arial" w:cs="Times New Roman"/>
                <w:sz w:val="23"/>
                <w:lang w:val="en-US"/>
              </w:rPr>
              <w:t xml:space="preserve"> </w:t>
            </w:r>
            <w:r w:rsidR="0094744B" w:rsidRPr="0086583D">
              <w:rPr>
                <w:rFonts w:ascii="Arial" w:eastAsia="Calibri" w:hAnsi="Arial" w:cs="Times New Roman"/>
                <w:sz w:val="23"/>
                <w:lang w:val="en-US"/>
              </w:rPr>
              <w:t>do not believe that pooling would be in the best interest of their members.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which circumstances should the SLGPS consider directing funds to pool?</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that pooling </w:t>
            </w:r>
            <w:proofErr w:type="gramStart"/>
            <w:r w:rsidR="0094744B" w:rsidRPr="0094744B">
              <w:rPr>
                <w:rFonts w:ascii="Arial" w:eastAsia="Calibri" w:hAnsi="Arial" w:cs="Times New Roman"/>
                <w:sz w:val="23"/>
                <w:lang w:val="en-US"/>
              </w:rPr>
              <w:t>should be considered</w:t>
            </w:r>
            <w:proofErr w:type="gramEnd"/>
            <w:r w:rsidR="0094744B" w:rsidRPr="0094744B">
              <w:rPr>
                <w:rFonts w:ascii="Arial" w:eastAsia="Calibri" w:hAnsi="Arial" w:cs="Times New Roman"/>
                <w:sz w:val="23"/>
                <w:lang w:val="en-US"/>
              </w:rPr>
              <w:t xml:space="preserve"> if there was clear evidence that funds were unable to manage and failed to meet their investment objectives and there was potential for detrimental impact to members and employers. </w:t>
            </w:r>
          </w:p>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governance?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 xml:space="preserve">Where pools oversee external investment managers, this represents an additional layer of governance between the fund and the manager.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believe that this is likely to reduce transparency and complicate governance (see organizational charts of the large complex structures in place in England and Wales above).</w:t>
            </w:r>
          </w:p>
          <w:p w:rsidR="0094744B" w:rsidRPr="0094744B" w:rsidRDefault="0094744B" w:rsidP="0094744B">
            <w:pPr>
              <w:spacing w:after="240" w:line="240" w:lineRule="auto"/>
              <w:rPr>
                <w:rFonts w:ascii="Arial" w:eastAsia="Calibri" w:hAnsi="Arial" w:cs="Times New Roman"/>
                <w:sz w:val="23"/>
                <w:lang w:val="en-US"/>
              </w:rPr>
            </w:pPr>
            <w:proofErr w:type="gramStart"/>
            <w:r w:rsidRPr="0094744B">
              <w:rPr>
                <w:rFonts w:ascii="Arial" w:eastAsia="Calibri" w:hAnsi="Arial" w:cs="Times New Roman"/>
                <w:sz w:val="23"/>
                <w:lang w:val="en-US"/>
              </w:rPr>
              <w:t>Also</w:t>
            </w:r>
            <w:proofErr w:type="gramEnd"/>
            <w:r w:rsidRPr="0094744B">
              <w:rPr>
                <w:rFonts w:ascii="Arial" w:eastAsia="Calibri" w:hAnsi="Arial" w:cs="Times New Roman"/>
                <w:sz w:val="23"/>
                <w:lang w:val="en-US"/>
              </w:rPr>
              <w:t xml:space="preserve">, where pools manage investments internally, </w:t>
            </w:r>
            <w:r w:rsidR="007C56A7">
              <w:rPr>
                <w:rFonts w:ascii="Arial" w:eastAsia="Calibri" w:hAnsi="Arial" w:cs="Times New Roman"/>
                <w:sz w:val="23"/>
                <w:lang w:val="en-US"/>
              </w:rPr>
              <w:t>we</w:t>
            </w:r>
            <w:r w:rsidRPr="0094744B">
              <w:rPr>
                <w:rFonts w:ascii="Arial" w:eastAsia="Calibri" w:hAnsi="Arial" w:cs="Times New Roman"/>
                <w:sz w:val="23"/>
                <w:lang w:val="en-US"/>
              </w:rPr>
              <w:t xml:space="preserve"> believe that the funds may become captive – i.e. it would be difficult to replace the internal management team if they underperformed.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lastRenderedPageBreak/>
              <w:t>Cost of set up and maintenance</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Resource to establish and maintain</w:t>
            </w:r>
          </w:p>
          <w:p w:rsidR="0094744B" w:rsidRPr="0094744B" w:rsidRDefault="0094744B" w:rsidP="0094744B">
            <w:pPr>
              <w:numPr>
                <w:ilvl w:val="1"/>
                <w:numId w:val="6"/>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Loss of flexibility which could have negative impact in meeting objectives and ultimately in costing more to employers / and member benefits</w:t>
            </w:r>
          </w:p>
          <w:p w:rsidR="0094744B" w:rsidRPr="0094744B" w:rsidRDefault="0094744B" w:rsidP="0094744B">
            <w:pPr>
              <w:numPr>
                <w:ilvl w:val="0"/>
                <w:numId w:val="1"/>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Operating risks: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operating risks? </w:t>
            </w:r>
          </w:p>
          <w:p w:rsidR="0094744B" w:rsidRPr="0094744B" w:rsidRDefault="0094744B" w:rsidP="0094744B">
            <w:pPr>
              <w:numPr>
                <w:ilvl w:val="1"/>
                <w:numId w:val="6"/>
              </w:numPr>
              <w:spacing w:after="240" w:line="240" w:lineRule="auto"/>
              <w:rPr>
                <w:rFonts w:ascii="Arial" w:eastAsia="Calibri" w:hAnsi="Arial" w:cs="Times New Roman"/>
                <w:i/>
                <w:sz w:val="23"/>
                <w:lang w:val="en-US"/>
              </w:rPr>
            </w:pPr>
            <w:r w:rsidRPr="0094744B">
              <w:rPr>
                <w:rFonts w:ascii="Arial" w:eastAsia="Calibri" w:hAnsi="Arial" w:cs="Times New Roman"/>
                <w:sz w:val="23"/>
                <w:lang w:val="en-US"/>
              </w:rPr>
              <w:t>Pools with external managed funds - Potentially increased operating risks as there would be the existing operating risks of the managers, but then a new layer of risks associated with management of the pool.</w:t>
            </w:r>
          </w:p>
          <w:p w:rsidR="0094744B" w:rsidRPr="0094744B" w:rsidRDefault="0094744B" w:rsidP="0094744B">
            <w:pPr>
              <w:numPr>
                <w:ilvl w:val="1"/>
                <w:numId w:val="6"/>
              </w:numPr>
              <w:spacing w:after="240" w:line="240" w:lineRule="auto"/>
              <w:rPr>
                <w:rFonts w:ascii="Arial" w:eastAsia="Calibri" w:hAnsi="Arial" w:cs="Times New Roman"/>
                <w:i/>
                <w:sz w:val="23"/>
                <w:lang w:val="en-US"/>
              </w:rPr>
            </w:pPr>
            <w:r w:rsidRPr="0094744B">
              <w:rPr>
                <w:rFonts w:ascii="Arial" w:eastAsia="Calibri" w:hAnsi="Arial" w:cs="Times New Roman"/>
                <w:sz w:val="23"/>
                <w:lang w:val="en-US"/>
              </w:rPr>
              <w:t xml:space="preserve">Pools with internally managed funds – Increased risk management and compliance resources would be required to enable comparative effectiveness with external management (who are managing considerably more funds than LGPS, and have global resources and expertise to do so).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Financial cost</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 xml:space="preserve">Detrimental impact on resources </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Concentration of risk</w:t>
            </w:r>
          </w:p>
          <w:p w:rsidR="0094744B" w:rsidRPr="0094744B" w:rsidRDefault="0094744B" w:rsidP="0094744B">
            <w:pPr>
              <w:numPr>
                <w:ilvl w:val="0"/>
                <w:numId w:val="1"/>
              </w:numPr>
              <w:spacing w:after="240" w:line="240" w:lineRule="auto"/>
              <w:rPr>
                <w:rFonts w:ascii="Arial" w:eastAsia="Calibri" w:hAnsi="Arial" w:cs="Times New Roman"/>
                <w:b/>
                <w:sz w:val="23"/>
                <w:u w:val="single"/>
                <w:lang w:val="en-US"/>
              </w:rPr>
            </w:pPr>
            <w:r w:rsidRPr="0094744B">
              <w:rPr>
                <w:rFonts w:ascii="Arial" w:eastAsia="Calibri" w:hAnsi="Arial" w:cs="Times New Roman"/>
                <w:b/>
                <w:sz w:val="23"/>
                <w:lang w:val="en-US"/>
              </w:rPr>
              <w:t xml:space="preserve">Infrastructure: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pooling investments between funds would have on funds’ ability to invest in infrastructure? </w:t>
            </w:r>
          </w:p>
          <w:p w:rsidR="0094744B" w:rsidRPr="007C56A7" w:rsidRDefault="004D5B0F" w:rsidP="007C56A7">
            <w:pPr>
              <w:pStyle w:val="ListParagraph"/>
              <w:numPr>
                <w:ilvl w:val="0"/>
                <w:numId w:val="20"/>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7C56A7">
              <w:rPr>
                <w:rFonts w:ascii="Arial" w:eastAsia="Calibri" w:hAnsi="Arial" w:cs="Times New Roman"/>
                <w:sz w:val="23"/>
                <w:lang w:val="en-US"/>
              </w:rPr>
              <w:t xml:space="preserve"> </w:t>
            </w:r>
            <w:r w:rsidR="0094744B" w:rsidRPr="007C56A7">
              <w:rPr>
                <w:rFonts w:ascii="Arial" w:eastAsia="Calibri" w:hAnsi="Arial" w:cs="Times New Roman"/>
                <w:sz w:val="23"/>
                <w:lang w:val="en-US"/>
              </w:rPr>
              <w:t xml:space="preserve">believe there to be very little impact, if any.  Varying sized funds invest in </w:t>
            </w:r>
            <w:proofErr w:type="gramStart"/>
            <w:r w:rsidR="0094744B" w:rsidRPr="007C56A7">
              <w:rPr>
                <w:rFonts w:ascii="Arial" w:eastAsia="Calibri" w:hAnsi="Arial" w:cs="Times New Roman"/>
                <w:sz w:val="23"/>
                <w:lang w:val="en-US"/>
              </w:rPr>
              <w:t>infrastructure,</w:t>
            </w:r>
            <w:proofErr w:type="gramEnd"/>
            <w:r w:rsidR="0094744B" w:rsidRPr="007C56A7">
              <w:rPr>
                <w:rFonts w:ascii="Arial" w:eastAsia="Calibri" w:hAnsi="Arial" w:cs="Times New Roman"/>
                <w:sz w:val="23"/>
                <w:lang w:val="en-US"/>
              </w:rPr>
              <w:t xml:space="preserve"> it largely depends on the fund’s choice of investment.</w:t>
            </w:r>
          </w:p>
          <w:p w:rsidR="0094744B" w:rsidRPr="007C56A7" w:rsidRDefault="004D5B0F" w:rsidP="007C56A7">
            <w:pPr>
              <w:pStyle w:val="ListParagraph"/>
              <w:numPr>
                <w:ilvl w:val="0"/>
                <w:numId w:val="20"/>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7C56A7">
              <w:rPr>
                <w:rFonts w:ascii="Arial" w:eastAsia="Calibri" w:hAnsi="Arial" w:cs="Times New Roman"/>
                <w:sz w:val="23"/>
                <w:lang w:val="en-US"/>
              </w:rPr>
              <w:t xml:space="preserve"> </w:t>
            </w:r>
            <w:r w:rsidR="0094744B" w:rsidRPr="007C56A7">
              <w:rPr>
                <w:rFonts w:ascii="Arial" w:eastAsia="Calibri" w:hAnsi="Arial" w:cs="Times New Roman"/>
                <w:sz w:val="23"/>
                <w:lang w:val="en-US"/>
              </w:rPr>
              <w:t xml:space="preserve">believe that pooling investments might facilitate infrastructure investment by funds who currently </w:t>
            </w:r>
            <w:proofErr w:type="gramStart"/>
            <w:r w:rsidR="0094744B" w:rsidRPr="007C56A7">
              <w:rPr>
                <w:rFonts w:ascii="Arial" w:eastAsia="Calibri" w:hAnsi="Arial" w:cs="Times New Roman"/>
                <w:sz w:val="23"/>
                <w:lang w:val="en-US"/>
              </w:rPr>
              <w:t>don’t</w:t>
            </w:r>
            <w:proofErr w:type="gramEnd"/>
            <w:r w:rsidR="0094744B" w:rsidRPr="007C56A7">
              <w:rPr>
                <w:rFonts w:ascii="Arial" w:eastAsia="Calibri" w:hAnsi="Arial" w:cs="Times New Roman"/>
                <w:sz w:val="23"/>
                <w:lang w:val="en-US"/>
              </w:rPr>
              <w:t>, but across the Scottish funds, the potential increase in allocation to this asset class would not materially change the total investment in 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7C56A7" w:rsidRDefault="004D5B0F" w:rsidP="007C56A7">
            <w:pPr>
              <w:pStyle w:val="ListParagraph"/>
              <w:numPr>
                <w:ilvl w:val="0"/>
                <w:numId w:val="20"/>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0094744B" w:rsidRPr="007C56A7">
              <w:rPr>
                <w:rFonts w:ascii="Arial" w:eastAsia="Calibri" w:hAnsi="Arial" w:cs="Times New Roman"/>
                <w:sz w:val="23"/>
                <w:lang w:val="en-US"/>
              </w:rPr>
              <w:t xml:space="preserve"> believe that a combined initiative by the Scottish funds to invest in infrastructure could have some merit.  </w:t>
            </w:r>
            <w:proofErr w:type="gramStart"/>
            <w:r w:rsidR="0094744B" w:rsidRPr="007C56A7">
              <w:rPr>
                <w:rFonts w:ascii="Arial" w:eastAsia="Calibri" w:hAnsi="Arial" w:cs="Times New Roman"/>
                <w:sz w:val="23"/>
                <w:lang w:val="en-US"/>
              </w:rPr>
              <w:t xml:space="preserve">The recent report by the Scottish Futures Trust (SFT) on Scottish Real Asset Investments and the Local Government Pension Scheme identifies an area of investment that “enables LGPS to meet their fiduciary duties with good risk adjusted returns that are not highly sought after or competed for by other investors: as those investments are not highly competed for by other investors, investment in them will provide </w:t>
            </w:r>
            <w:r w:rsidR="0094744B" w:rsidRPr="007C56A7">
              <w:rPr>
                <w:rFonts w:ascii="Arial" w:eastAsia="Calibri" w:hAnsi="Arial" w:cs="Times New Roman"/>
                <w:sz w:val="23"/>
                <w:lang w:val="en-US"/>
              </w:rPr>
              <w:lastRenderedPageBreak/>
              <w:t>a level of additionality to the Scottish real asset stock, and where they relate to new developments, they will provide additional Scottish capital stock.”</w:t>
            </w:r>
            <w:proofErr w:type="gramEnd"/>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stress though that:</w:t>
            </w:r>
          </w:p>
          <w:p w:rsidR="0094744B" w:rsidRPr="0094744B" w:rsidRDefault="0094744B" w:rsidP="0094744B">
            <w:pPr>
              <w:numPr>
                <w:ilvl w:val="0"/>
                <w:numId w:val="10"/>
              </w:num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the positive impacts identified by SFT are not related to the objectives of the LGPS and its funds; and</w:t>
            </w:r>
          </w:p>
          <w:p w:rsidR="0094744B" w:rsidRPr="0094744B" w:rsidRDefault="0094744B" w:rsidP="0094744B">
            <w:pPr>
              <w:numPr>
                <w:ilvl w:val="0"/>
                <w:numId w:val="10"/>
              </w:numPr>
              <w:spacing w:after="240" w:line="240" w:lineRule="auto"/>
              <w:rPr>
                <w:rFonts w:ascii="Arial" w:eastAsia="Calibri" w:hAnsi="Arial" w:cs="Times New Roman"/>
                <w:sz w:val="23"/>
                <w:lang w:val="en-US"/>
              </w:rPr>
            </w:pPr>
            <w:proofErr w:type="gramStart"/>
            <w:r w:rsidRPr="0094744B">
              <w:rPr>
                <w:rFonts w:ascii="Arial" w:eastAsia="Calibri" w:hAnsi="Arial" w:cs="Times New Roman"/>
                <w:sz w:val="23"/>
                <w:lang w:val="en-US"/>
              </w:rPr>
              <w:t>it</w:t>
            </w:r>
            <w:proofErr w:type="gramEnd"/>
            <w:r w:rsidRPr="0094744B">
              <w:rPr>
                <w:rFonts w:ascii="Arial" w:eastAsia="Calibri" w:hAnsi="Arial" w:cs="Times New Roman"/>
                <w:sz w:val="23"/>
                <w:lang w:val="en-US"/>
              </w:rPr>
              <w:t xml:space="preserve"> would not be necessary to pool funds in their entirety to facilitate investment in infrastructure. The creation of a pooled investment vehicle in which funds could invest would achieve this if the vehicle </w:t>
            </w:r>
            <w:proofErr w:type="gramStart"/>
            <w:r w:rsidRPr="0094744B">
              <w:rPr>
                <w:rFonts w:ascii="Arial" w:eastAsia="Calibri" w:hAnsi="Arial" w:cs="Times New Roman"/>
                <w:sz w:val="23"/>
                <w:lang w:val="en-US"/>
              </w:rPr>
              <w:t>was</w:t>
            </w:r>
            <w:proofErr w:type="gramEnd"/>
            <w:r w:rsidRPr="0094744B">
              <w:rPr>
                <w:rFonts w:ascii="Arial" w:eastAsia="Calibri" w:hAnsi="Arial" w:cs="Times New Roman"/>
                <w:sz w:val="23"/>
                <w:lang w:val="en-US"/>
              </w:rPr>
              <w:t xml:space="preserve"> sufficiently attractive on a risk/return assessment.</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Large set up costs</w:t>
            </w:r>
          </w:p>
          <w:p w:rsidR="0094744B" w:rsidRPr="0094744B" w:rsidRDefault="0094744B" w:rsidP="0094744B">
            <w:pPr>
              <w:numPr>
                <w:ilvl w:val="1"/>
                <w:numId w:val="6"/>
              </w:numPr>
              <w:spacing w:after="240" w:line="240" w:lineRule="auto"/>
              <w:contextualSpacing/>
              <w:rPr>
                <w:rFonts w:ascii="Arial" w:eastAsia="Calibri" w:hAnsi="Arial" w:cs="Times New Roman"/>
                <w:sz w:val="23"/>
              </w:rPr>
            </w:pPr>
            <w:r w:rsidRPr="0094744B">
              <w:rPr>
                <w:rFonts w:ascii="Arial" w:eastAsia="Calibri" w:hAnsi="Arial" w:cs="Times New Roman"/>
                <w:sz w:val="23"/>
              </w:rPr>
              <w:t>Potential FCA authorization requirement</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7C56A7" w:rsidRDefault="004D5B0F" w:rsidP="007C56A7">
            <w:pPr>
              <w:pStyle w:val="ListParagraph"/>
              <w:numPr>
                <w:ilvl w:val="0"/>
                <w:numId w:val="21"/>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7C56A7">
              <w:rPr>
                <w:rFonts w:ascii="Arial" w:eastAsia="Calibri" w:hAnsi="Arial" w:cs="Times New Roman"/>
                <w:sz w:val="23"/>
              </w:rPr>
              <w:t xml:space="preserve"> </w:t>
            </w:r>
            <w:r w:rsidR="0094744B" w:rsidRPr="007C56A7">
              <w:rPr>
                <w:rFonts w:ascii="Arial" w:eastAsia="Calibri" w:hAnsi="Arial" w:cs="Times New Roman"/>
                <w:sz w:val="23"/>
              </w:rPr>
              <w:t xml:space="preserve">believe that it is much too early to judge whether the pooling initiatives of England and Wales have been successful in meeting their objectives, however what is clearly apparent that is that this has been a costly and </w:t>
            </w:r>
            <w:proofErr w:type="gramStart"/>
            <w:r w:rsidR="0094744B" w:rsidRPr="007C56A7">
              <w:rPr>
                <w:rFonts w:ascii="Arial" w:eastAsia="Calibri" w:hAnsi="Arial" w:cs="Times New Roman"/>
                <w:sz w:val="23"/>
              </w:rPr>
              <w:t>time consuming</w:t>
            </w:r>
            <w:proofErr w:type="gramEnd"/>
            <w:r w:rsidR="0094744B" w:rsidRPr="007C56A7">
              <w:rPr>
                <w:rFonts w:ascii="Arial" w:eastAsia="Calibri" w:hAnsi="Arial" w:cs="Times New Roman"/>
                <w:sz w:val="23"/>
              </w:rPr>
              <w:t xml:space="preserve"> exercise with no standardised approach or clearly planned strategy.  The payback period for costs incurred is likely to span many years and it </w:t>
            </w:r>
            <w:proofErr w:type="gramStart"/>
            <w:r w:rsidR="0094744B" w:rsidRPr="007C56A7">
              <w:rPr>
                <w:rFonts w:ascii="Arial" w:eastAsia="Calibri" w:hAnsi="Arial" w:cs="Times New Roman"/>
                <w:sz w:val="23"/>
              </w:rPr>
              <w:t>is also</w:t>
            </w:r>
            <w:proofErr w:type="gramEnd"/>
            <w:r w:rsidR="0094744B" w:rsidRPr="007C56A7">
              <w:rPr>
                <w:rFonts w:ascii="Arial" w:eastAsia="Calibri" w:hAnsi="Arial" w:cs="Times New Roman"/>
                <w:sz w:val="23"/>
              </w:rPr>
              <w:t xml:space="preserve"> likely to be some time until the pools settle fully into their new structures as all pools differ in set up, structure and objectives.  </w:t>
            </w:r>
          </w:p>
          <w:p w:rsidR="0094744B" w:rsidRPr="007C56A7" w:rsidRDefault="004D5B0F" w:rsidP="007C56A7">
            <w:pPr>
              <w:pStyle w:val="ListParagraph"/>
              <w:numPr>
                <w:ilvl w:val="0"/>
                <w:numId w:val="21"/>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7C56A7">
              <w:rPr>
                <w:rFonts w:ascii="Arial" w:eastAsia="Calibri" w:hAnsi="Arial" w:cs="Times New Roman"/>
                <w:sz w:val="23"/>
              </w:rPr>
              <w:t xml:space="preserve"> </w:t>
            </w:r>
            <w:r w:rsidR="0094744B" w:rsidRPr="007C56A7">
              <w:rPr>
                <w:rFonts w:ascii="Arial" w:eastAsia="Calibri" w:hAnsi="Arial" w:cs="Times New Roman"/>
                <w:sz w:val="23"/>
              </w:rPr>
              <w:t xml:space="preserve">is aware that the pooling of England and Wales has also had detrimental impact on stripping resources from administering authorities who still require skills and resources, therefore potentially increasing risk of detrimental impact in the management of the funds.  </w:t>
            </w:r>
          </w:p>
          <w:p w:rsidR="007C56A7" w:rsidRPr="007C56A7" w:rsidRDefault="004D5B0F" w:rsidP="007C56A7">
            <w:pPr>
              <w:pStyle w:val="ListParagraph"/>
              <w:numPr>
                <w:ilvl w:val="0"/>
                <w:numId w:val="21"/>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7C56A7">
              <w:rPr>
                <w:rFonts w:ascii="Arial" w:eastAsia="Calibri" w:hAnsi="Arial" w:cs="Times New Roman"/>
                <w:sz w:val="23"/>
                <w:lang w:val="en-US"/>
              </w:rPr>
              <w:t xml:space="preserve"> </w:t>
            </w:r>
            <w:r w:rsidR="0094744B" w:rsidRPr="007C56A7">
              <w:rPr>
                <w:rFonts w:ascii="Arial" w:eastAsia="Calibri" w:hAnsi="Arial" w:cs="Times New Roman"/>
                <w:sz w:val="23"/>
                <w:lang w:val="en-US"/>
              </w:rPr>
              <w:t xml:space="preserve">is clear in their considerations that infrastructure investment is not the primary objective of the LGPS, and thus fiduciary duty </w:t>
            </w:r>
            <w:proofErr w:type="gramStart"/>
            <w:r w:rsidR="0094744B" w:rsidRPr="007C56A7">
              <w:rPr>
                <w:rFonts w:ascii="Arial" w:eastAsia="Calibri" w:hAnsi="Arial" w:cs="Times New Roman"/>
                <w:sz w:val="23"/>
                <w:lang w:val="en-US"/>
              </w:rPr>
              <w:t>must be considered</w:t>
            </w:r>
            <w:proofErr w:type="gramEnd"/>
            <w:r w:rsidR="0094744B" w:rsidRPr="007C56A7">
              <w:rPr>
                <w:rFonts w:ascii="Arial" w:eastAsia="Calibri" w:hAnsi="Arial" w:cs="Times New Roman"/>
                <w:sz w:val="23"/>
                <w:lang w:val="en-US"/>
              </w:rPr>
              <w:t xml:space="preserve"> if considering pooling the funds simply to achieve more infrastructure investment in infrastructure.  </w:t>
            </w:r>
          </w:p>
          <w:p w:rsidR="0094744B" w:rsidRPr="0094744B" w:rsidRDefault="004D5B0F" w:rsidP="007C56A7">
            <w:pPr>
              <w:pStyle w:val="ListParagraph"/>
              <w:numPr>
                <w:ilvl w:val="0"/>
                <w:numId w:val="21"/>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rPr>
              <w:t xml:space="preserve"> </w:t>
            </w:r>
            <w:r w:rsidR="0094744B" w:rsidRPr="0094744B">
              <w:rPr>
                <w:rFonts w:ascii="Arial" w:eastAsia="Calibri" w:hAnsi="Arial" w:cs="Times New Roman"/>
                <w:sz w:val="23"/>
              </w:rPr>
              <w:t>do not support the approach used in England and Wales, but believe that there might be some merit in more selective pooling, on a voluntary basis either of individual asset classes or by specific groups of funds, dependant on wishes of those individual funds in order to meet their requirements.</w:t>
            </w:r>
          </w:p>
        </w:tc>
      </w:tr>
    </w:tbl>
    <w:p w:rsidR="0094744B" w:rsidRPr="0094744B" w:rsidRDefault="0094744B" w:rsidP="0094744B">
      <w:pPr>
        <w:spacing w:after="240" w:line="240" w:lineRule="auto"/>
        <w:jc w:val="right"/>
        <w:rPr>
          <w:rFonts w:ascii="Arial" w:eastAsia="Times New Roman" w:hAnsi="Arial" w:cs="Times New Roman"/>
          <w:sz w:val="23"/>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7C56A7">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Times New Roman" w:hAnsi="Arial" w:cs="Times New Roman"/>
                <w:sz w:val="23"/>
                <w:szCs w:val="20"/>
              </w:rPr>
              <w:br w:type="page"/>
            </w:r>
            <w:proofErr w:type="spellStart"/>
            <w:r w:rsidRPr="0094744B">
              <w:rPr>
                <w:rFonts w:ascii="Arial" w:eastAsia="Calibri" w:hAnsi="Arial" w:cs="Times New Roman"/>
                <w:b/>
                <w:bCs/>
                <w:sz w:val="28"/>
                <w:szCs w:val="26"/>
              </w:rPr>
              <w:t>estion</w:t>
            </w:r>
            <w:proofErr w:type="spellEnd"/>
            <w:r w:rsidRPr="0094744B">
              <w:rPr>
                <w:rFonts w:ascii="Arial" w:eastAsia="Calibri" w:hAnsi="Arial" w:cs="Times New Roman"/>
                <w:b/>
                <w:bCs/>
                <w:sz w:val="28"/>
                <w:szCs w:val="26"/>
              </w:rPr>
              <w:t xml:space="preserve"> 4: Merge the funds into one or more new funds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7C56A7">
        <w:tc>
          <w:tcPr>
            <w:tcW w:w="9026" w:type="dxa"/>
            <w:shd w:val="clear" w:color="auto" w:fill="auto"/>
          </w:tcPr>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Cost of investing: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impact do you think mergers between funds would have on the cost of investing?</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lastRenderedPageBreak/>
              <w:t xml:space="preserve">What would be the positive impacts? </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Answer as for pooling at 3.a, above.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Answer as for pooling at 3.a, above, but the transitional costs would be much greater.</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is very aware that changes to the structure could, however, affect employers directly – their contribution rates are impacted by investment returns and funding.  The potential impact of “what could happen” is demonstrated </w:t>
            </w:r>
            <w:r w:rsidR="004463A9">
              <w:rPr>
                <w:rFonts w:ascii="Arial" w:eastAsia="Calibri" w:hAnsi="Arial" w:cs="Times New Roman"/>
                <w:sz w:val="23"/>
                <w:lang w:val="en-US"/>
              </w:rPr>
              <w:t>overleaf</w:t>
            </w:r>
            <w:r w:rsidR="007C56A7">
              <w:rPr>
                <w:rFonts w:ascii="Arial" w:eastAsia="Calibri" w:hAnsi="Arial" w:cs="Times New Roman"/>
                <w:sz w:val="23"/>
                <w:lang w:val="en-US"/>
              </w:rPr>
              <w:t xml:space="preserve"> from the table </w:t>
            </w:r>
            <w:r w:rsidR="004463A9">
              <w:rPr>
                <w:rFonts w:ascii="Arial" w:eastAsia="Calibri" w:hAnsi="Arial" w:cs="Times New Roman"/>
                <w:sz w:val="23"/>
                <w:lang w:val="en-US"/>
              </w:rPr>
              <w:t>of contribution rates</w:t>
            </w:r>
            <w:r w:rsidR="007C56A7">
              <w:rPr>
                <w:rFonts w:ascii="Arial" w:eastAsia="Calibri" w:hAnsi="Arial" w:cs="Times New Roman"/>
                <w:sz w:val="23"/>
                <w:lang w:val="en-US"/>
              </w:rPr>
              <w:t xml:space="preserve"> of Scottish LGPS</w:t>
            </w:r>
            <w:r w:rsidR="004463A9">
              <w:rPr>
                <w:rFonts w:ascii="Arial" w:eastAsia="Calibri" w:hAnsi="Arial" w:cs="Times New Roman"/>
                <w:sz w:val="23"/>
                <w:lang w:val="en-US"/>
              </w:rPr>
              <w:t xml:space="preserve"> to 31/3/18</w:t>
            </w:r>
            <w:r w:rsidR="0094744B" w:rsidRPr="0094744B">
              <w:rPr>
                <w:rFonts w:ascii="Arial" w:eastAsia="Calibri" w:hAnsi="Arial" w:cs="Times New Roman"/>
                <w:sz w:val="23"/>
                <w:lang w:val="en-US"/>
              </w:rPr>
              <w:t>:</w:t>
            </w:r>
          </w:p>
          <w:p w:rsidR="0094744B" w:rsidRPr="0094744B" w:rsidRDefault="007C56A7" w:rsidP="004463A9">
            <w:pPr>
              <w:spacing w:after="240" w:line="240" w:lineRule="auto"/>
              <w:jc w:val="center"/>
              <w:rPr>
                <w:rFonts w:ascii="Arial" w:eastAsia="Calibri" w:hAnsi="Arial" w:cs="Times New Roman"/>
                <w:sz w:val="23"/>
                <w:lang w:val="en-US"/>
              </w:rPr>
            </w:pPr>
            <w:r>
              <w:rPr>
                <w:noProof/>
                <w:lang w:eastAsia="en-GB"/>
              </w:rPr>
              <w:drawing>
                <wp:inline distT="0" distB="0" distL="0" distR="0" wp14:anchorId="29890631" wp14:editId="1D9C1954">
                  <wp:extent cx="27622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62250" cy="2238375"/>
                          </a:xfrm>
                          <a:prstGeom prst="rect">
                            <a:avLst/>
                          </a:prstGeom>
                        </pic:spPr>
                      </pic:pic>
                    </a:graphicData>
                  </a:graphic>
                </wp:inline>
              </w:drawing>
            </w:r>
          </w:p>
          <w:p w:rsidR="0094744B" w:rsidRPr="004463A9" w:rsidRDefault="0094744B" w:rsidP="004463A9">
            <w:pPr>
              <w:pStyle w:val="ListParagraph"/>
              <w:numPr>
                <w:ilvl w:val="0"/>
                <w:numId w:val="22"/>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Some fund employers would not be able to accommodate change to contribution rates, furthermore, and as this increased contribution would be as a result as a drop in funding level, this would not be in the best interest of the scheme membership.</w:t>
            </w:r>
          </w:p>
          <w:p w:rsidR="0094744B" w:rsidRPr="004463A9" w:rsidRDefault="0094744B" w:rsidP="004463A9">
            <w:pPr>
              <w:pStyle w:val="ListParagraph"/>
              <w:numPr>
                <w:ilvl w:val="0"/>
                <w:numId w:val="22"/>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 xml:space="preserve">In light of the above risks,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4463A9">
              <w:rPr>
                <w:rFonts w:ascii="Arial" w:eastAsia="Calibri" w:hAnsi="Arial" w:cs="Times New Roman"/>
                <w:sz w:val="23"/>
                <w:lang w:val="en-US"/>
              </w:rPr>
              <w:t xml:space="preserve"> </w:t>
            </w:r>
            <w:r w:rsidRPr="004463A9">
              <w:rPr>
                <w:rFonts w:ascii="Arial" w:eastAsia="Calibri" w:hAnsi="Arial" w:cs="Times New Roman"/>
                <w:sz w:val="23"/>
                <w:lang w:val="en-US"/>
              </w:rPr>
              <w:t xml:space="preserve">could not support any </w:t>
            </w:r>
            <w:proofErr w:type="gramStart"/>
            <w:r w:rsidRPr="004463A9">
              <w:rPr>
                <w:rFonts w:ascii="Arial" w:eastAsia="Calibri" w:hAnsi="Arial" w:cs="Times New Roman"/>
                <w:sz w:val="23"/>
                <w:lang w:val="en-US"/>
              </w:rPr>
              <w:t>option which</w:t>
            </w:r>
            <w:proofErr w:type="gramEnd"/>
            <w:r w:rsidRPr="004463A9">
              <w:rPr>
                <w:rFonts w:ascii="Arial" w:eastAsia="Calibri" w:hAnsi="Arial" w:cs="Times New Roman"/>
                <w:sz w:val="23"/>
                <w:lang w:val="en-US"/>
              </w:rPr>
              <w:t xml:space="preserve"> could result in an increase in contribution rates which would be unaffordable.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If merging were possible, under what circumstances should a fund consider a merger?</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that any fund merger </w:t>
            </w:r>
            <w:proofErr w:type="gramStart"/>
            <w:r w:rsidR="0094744B" w:rsidRPr="0094744B">
              <w:rPr>
                <w:rFonts w:ascii="Arial" w:eastAsia="Calibri" w:hAnsi="Arial" w:cs="Times New Roman"/>
                <w:sz w:val="23"/>
                <w:lang w:val="en-US"/>
              </w:rPr>
              <w:t>should only be considered</w:t>
            </w:r>
            <w:proofErr w:type="gramEnd"/>
            <w:r w:rsidR="0094744B" w:rsidRPr="0094744B">
              <w:rPr>
                <w:rFonts w:ascii="Arial" w:eastAsia="Calibri" w:hAnsi="Arial" w:cs="Times New Roman"/>
                <w:sz w:val="23"/>
                <w:lang w:val="en-US"/>
              </w:rPr>
              <w:t xml:space="preserve"> if 2 or more individual funds (and their stakeholders) believe this option to be in the best interests of their members and employers.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Under what circumstances should the SLGPS consider directing funds to merge?</w:t>
            </w:r>
          </w:p>
          <w:p w:rsidR="0094744B" w:rsidRPr="0094744B" w:rsidRDefault="0094744B" w:rsidP="0094744B">
            <w:pPr>
              <w:spacing w:after="240" w:line="240" w:lineRule="auto"/>
              <w:rPr>
                <w:rFonts w:ascii="Arial" w:eastAsia="Calibri" w:hAnsi="Arial" w:cs="Times New Roman"/>
                <w:sz w:val="23"/>
                <w:lang w:val="en-US"/>
              </w:rPr>
            </w:pPr>
            <w:r w:rsidRPr="0094744B">
              <w:rPr>
                <w:rFonts w:ascii="Arial" w:eastAsia="Calibri" w:hAnsi="Arial" w:cs="Times New Roman"/>
                <w:sz w:val="23"/>
                <w:lang w:val="en-US"/>
              </w:rPr>
              <w:t>Answer as for pooling at 3.a, above.</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Governance: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governance?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that a merger would inevitably reduce or remove local involvement in pension fund </w:t>
            </w:r>
            <w:proofErr w:type="gramStart"/>
            <w:r w:rsidR="0094744B" w:rsidRPr="0094744B">
              <w:rPr>
                <w:rFonts w:ascii="Arial" w:eastAsia="Calibri" w:hAnsi="Arial" w:cs="Times New Roman"/>
                <w:sz w:val="23"/>
                <w:lang w:val="en-US"/>
              </w:rPr>
              <w:t>governance which</w:t>
            </w:r>
            <w:proofErr w:type="gramEnd"/>
            <w:r w:rsidR="0094744B" w:rsidRPr="0094744B">
              <w:rPr>
                <w:rFonts w:ascii="Arial" w:eastAsia="Calibri" w:hAnsi="Arial" w:cs="Times New Roman"/>
                <w:sz w:val="23"/>
                <w:lang w:val="en-US"/>
              </w:rPr>
              <w:t xml:space="preserve"> is believed to be intrinsic to the </w:t>
            </w:r>
            <w:r w:rsidR="0094744B" w:rsidRPr="0094744B">
              <w:rPr>
                <w:rFonts w:ascii="Arial" w:eastAsia="Calibri" w:hAnsi="Arial" w:cs="Times New Roman"/>
                <w:sz w:val="23"/>
                <w:lang w:val="en-US"/>
              </w:rPr>
              <w:lastRenderedPageBreak/>
              <w:t xml:space="preserve">successful performance of TPF. The degree of this would depend on the model and extent of the merger.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that whilst a merged model would require less governance resource than individual governance models, this is only truly a positive if the merged model is proven </w:t>
            </w:r>
            <w:proofErr w:type="gramStart"/>
            <w:r w:rsidR="0094744B" w:rsidRPr="0094744B">
              <w:rPr>
                <w:rFonts w:ascii="Arial" w:eastAsia="Calibri" w:hAnsi="Arial" w:cs="Times New Roman"/>
                <w:sz w:val="23"/>
                <w:lang w:val="en-US"/>
              </w:rPr>
              <w:t>to be more</w:t>
            </w:r>
            <w:proofErr w:type="gramEnd"/>
            <w:r w:rsidR="0094744B" w:rsidRPr="0094744B">
              <w:rPr>
                <w:rFonts w:ascii="Arial" w:eastAsia="Calibri" w:hAnsi="Arial" w:cs="Times New Roman"/>
                <w:sz w:val="23"/>
                <w:lang w:val="en-US"/>
              </w:rPr>
              <w:t xml:space="preserve"> effective.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believe that a merged model would increase the reliance on a smaller number of individuals, and in so, significant increase in risk.</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 xml:space="preserve">Operating risks: </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operating risks? </w:t>
            </w:r>
          </w:p>
          <w:p w:rsidR="0094744B" w:rsidRPr="004463A9" w:rsidRDefault="004D5B0F" w:rsidP="004463A9">
            <w:pPr>
              <w:pStyle w:val="ListParagraph"/>
              <w:numPr>
                <w:ilvl w:val="0"/>
                <w:numId w:val="2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believe that a fund merger would inevitably result in concentration of risk, and reduced diversification.  However, if </w:t>
            </w:r>
            <w:proofErr w:type="gramStart"/>
            <w:r w:rsidR="0094744B" w:rsidRPr="004463A9">
              <w:rPr>
                <w:rFonts w:ascii="Arial" w:eastAsia="Calibri" w:hAnsi="Arial" w:cs="Times New Roman"/>
                <w:sz w:val="23"/>
                <w:lang w:val="en-US"/>
              </w:rPr>
              <w:t>2</w:t>
            </w:r>
            <w:proofErr w:type="gramEnd"/>
            <w:r w:rsidR="0094744B" w:rsidRPr="004463A9">
              <w:rPr>
                <w:rFonts w:ascii="Arial" w:eastAsia="Calibri" w:hAnsi="Arial" w:cs="Times New Roman"/>
                <w:sz w:val="23"/>
                <w:lang w:val="en-US"/>
              </w:rPr>
              <w:t xml:space="preserve"> or more funds did believe merger to be beneficial for their individual circumstances, this should still be a key consideration for them, but them in isolation.  </w:t>
            </w:r>
          </w:p>
          <w:p w:rsidR="0094744B" w:rsidRPr="004463A9" w:rsidRDefault="004D5B0F" w:rsidP="004463A9">
            <w:pPr>
              <w:pStyle w:val="ListParagraph"/>
              <w:numPr>
                <w:ilvl w:val="0"/>
                <w:numId w:val="23"/>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believe that whilst there are opinions of the potential savings a full merger of Scottish funds might may have, it may be worth noting that there has been no balance in assessing the impact of potential failure on the collective membership and employers due to the decisions of a reduced number of individuals.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do not consider size as a guarantee of success, and the impact of failure would be catastrophic for the country.</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would be the positive impacts?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do not consider there to be any potential positive impacts.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Concentration of risk.</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Impact of failings</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Loss of flexibility</w:t>
            </w:r>
          </w:p>
          <w:p w:rsidR="0094744B" w:rsidRPr="0094744B" w:rsidRDefault="0094744B" w:rsidP="0094744B">
            <w:pPr>
              <w:numPr>
                <w:ilvl w:val="0"/>
                <w:numId w:val="7"/>
              </w:numPr>
              <w:spacing w:after="240" w:line="240" w:lineRule="auto"/>
              <w:contextualSpacing/>
              <w:rPr>
                <w:rFonts w:ascii="Arial" w:eastAsia="Calibri" w:hAnsi="Arial" w:cs="Times New Roman"/>
                <w:sz w:val="23"/>
                <w:lang w:val="en-US"/>
              </w:rPr>
            </w:pPr>
            <w:r w:rsidRPr="0094744B">
              <w:rPr>
                <w:rFonts w:ascii="Arial" w:eastAsia="Calibri" w:hAnsi="Arial" w:cs="Times New Roman"/>
                <w:sz w:val="23"/>
                <w:lang w:val="en-US"/>
              </w:rPr>
              <w:t>Reliance on a reduced number of people</w:t>
            </w:r>
          </w:p>
          <w:p w:rsidR="004D5B0F" w:rsidRDefault="004D5B0F" w:rsidP="0094744B">
            <w:pPr>
              <w:spacing w:after="240" w:line="240" w:lineRule="auto"/>
              <w:ind w:left="68"/>
              <w:rPr>
                <w:rFonts w:ascii="Arial" w:eastAsia="Calibri" w:hAnsi="Arial" w:cs="Times New Roman"/>
                <w:b/>
                <w:sz w:val="23"/>
                <w:lang w:val="en-US"/>
              </w:rPr>
            </w:pPr>
          </w:p>
          <w:p w:rsidR="0094744B" w:rsidRPr="0094744B" w:rsidRDefault="0094744B" w:rsidP="0094744B">
            <w:pPr>
              <w:spacing w:after="240" w:line="240" w:lineRule="auto"/>
              <w:ind w:left="68"/>
              <w:rPr>
                <w:rFonts w:ascii="Arial" w:eastAsia="Calibri" w:hAnsi="Arial" w:cs="Times New Roman"/>
                <w:b/>
                <w:sz w:val="23"/>
                <w:u w:val="single"/>
                <w:lang w:val="en-US"/>
              </w:rPr>
            </w:pPr>
            <w:r w:rsidRPr="0094744B">
              <w:rPr>
                <w:rFonts w:ascii="Arial" w:eastAsia="Calibri" w:hAnsi="Arial" w:cs="Times New Roman"/>
                <w:b/>
                <w:sz w:val="23"/>
                <w:lang w:val="en-US"/>
              </w:rPr>
              <w:t>Infrastructure:</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 xml:space="preserve">What impact do you think mergers between funds would have on funds’ ability to invest in infrastructure? </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believe that a full merger of Scottish funds could increase investment in infrastructure, but only if the investment strategy required this.  Investment strategies are set to meet risk and return objectives, not to facilitate an investment in a </w:t>
            </w:r>
            <w:proofErr w:type="spellStart"/>
            <w:r w:rsidR="0094744B" w:rsidRPr="0094744B">
              <w:rPr>
                <w:rFonts w:ascii="Arial" w:eastAsia="Calibri" w:hAnsi="Arial" w:cs="Times New Roman"/>
                <w:sz w:val="23"/>
                <w:lang w:val="en-US"/>
              </w:rPr>
              <w:t>favoured</w:t>
            </w:r>
            <w:proofErr w:type="spellEnd"/>
            <w:r w:rsidR="0094744B" w:rsidRPr="0094744B">
              <w:rPr>
                <w:rFonts w:ascii="Arial" w:eastAsia="Calibri" w:hAnsi="Arial" w:cs="Times New Roman"/>
                <w:sz w:val="23"/>
                <w:lang w:val="en-US"/>
              </w:rPr>
              <w:t xml:space="preserve"> asset class.  </w:t>
            </w:r>
          </w:p>
          <w:p w:rsidR="0094744B" w:rsidRDefault="0094744B" w:rsidP="0094744B">
            <w:pPr>
              <w:numPr>
                <w:ilvl w:val="0"/>
                <w:numId w:val="8"/>
              </w:numPr>
              <w:spacing w:after="240" w:line="240" w:lineRule="auto"/>
              <w:contextualSpacing/>
              <w:rPr>
                <w:rFonts w:ascii="Arial" w:eastAsia="Calibri" w:hAnsi="Arial" w:cs="Times New Roman"/>
                <w:sz w:val="23"/>
              </w:rPr>
            </w:pPr>
            <w:r w:rsidRPr="0094744B">
              <w:rPr>
                <w:rFonts w:ascii="Arial" w:eastAsia="Calibri" w:hAnsi="Arial" w:cs="Times New Roman"/>
                <w:sz w:val="23"/>
              </w:rPr>
              <w:t xml:space="preserve">What would be the positive impacts? </w:t>
            </w:r>
          </w:p>
          <w:p w:rsidR="004463A9" w:rsidRPr="0094744B" w:rsidRDefault="004463A9" w:rsidP="004463A9">
            <w:pPr>
              <w:spacing w:after="240" w:line="240" w:lineRule="auto"/>
              <w:ind w:left="360"/>
              <w:contextualSpacing/>
              <w:rPr>
                <w:rFonts w:ascii="Arial" w:eastAsia="Calibri" w:hAnsi="Arial" w:cs="Times New Roman"/>
                <w:sz w:val="23"/>
              </w:rPr>
            </w:pP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lastRenderedPageBreak/>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believe that a merged fund or funds could potentially make larger individual infrastructure investments.</w:t>
            </w:r>
          </w:p>
          <w:p w:rsidR="0094744B" w:rsidRPr="0094744B" w:rsidRDefault="0094744B" w:rsidP="0094744B">
            <w:pPr>
              <w:spacing w:after="240" w:line="240" w:lineRule="auto"/>
              <w:ind w:left="720" w:hanging="360"/>
              <w:rPr>
                <w:rFonts w:ascii="Arial" w:eastAsia="Calibri" w:hAnsi="Arial" w:cs="Times New Roman"/>
                <w:i/>
                <w:sz w:val="23"/>
                <w:lang w:val="en-US"/>
              </w:rPr>
            </w:pPr>
            <w:r w:rsidRPr="0094744B">
              <w:rPr>
                <w:rFonts w:ascii="Arial" w:eastAsia="Calibri" w:hAnsi="Arial" w:cs="Times New Roman"/>
                <w:i/>
                <w:sz w:val="23"/>
                <w:lang w:val="en-US"/>
              </w:rPr>
              <w:t>What would be the negative impacts?</w:t>
            </w:r>
          </w:p>
          <w:p w:rsidR="0094744B" w:rsidRPr="0094744B" w:rsidRDefault="004D5B0F" w:rsidP="0094744B">
            <w:p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believe that larger individual investments would represent a greater concentration of risk.</w:t>
            </w:r>
          </w:p>
          <w:p w:rsidR="0094744B" w:rsidRPr="0094744B" w:rsidRDefault="0094744B" w:rsidP="0094744B">
            <w:pPr>
              <w:spacing w:after="240" w:line="240" w:lineRule="auto"/>
              <w:ind w:left="68"/>
              <w:rPr>
                <w:rFonts w:ascii="Arial" w:eastAsia="Calibri" w:hAnsi="Arial" w:cs="Times New Roman"/>
                <w:b/>
                <w:sz w:val="23"/>
                <w:lang w:val="en-US"/>
              </w:rPr>
            </w:pPr>
            <w:r w:rsidRPr="0094744B">
              <w:rPr>
                <w:rFonts w:ascii="Arial" w:eastAsia="Calibri" w:hAnsi="Arial" w:cs="Times New Roman"/>
                <w:b/>
                <w:sz w:val="23"/>
                <w:lang w:val="en-US"/>
              </w:rPr>
              <w:t>Do you have any additional comments about this option?</w:t>
            </w:r>
          </w:p>
          <w:p w:rsidR="0094744B" w:rsidRPr="004463A9" w:rsidRDefault="004D5B0F" w:rsidP="004463A9">
            <w:pPr>
              <w:pStyle w:val="ListParagraph"/>
              <w:numPr>
                <w:ilvl w:val="0"/>
                <w:numId w:val="24"/>
              </w:numPr>
              <w:spacing w:after="240" w:line="240" w:lineRule="auto"/>
              <w:rPr>
                <w:rFonts w:ascii="Arial" w:eastAsia="Calibri" w:hAnsi="Arial" w:cs="Times New Roman"/>
                <w:sz w:val="23"/>
              </w:rPr>
            </w:pPr>
            <w:proofErr w:type="spellStart"/>
            <w:proofErr w:type="gram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rPr>
              <w:t xml:space="preserve"> </w:t>
            </w:r>
            <w:r w:rsidR="0094744B" w:rsidRPr="004463A9">
              <w:rPr>
                <w:rFonts w:ascii="Arial" w:eastAsia="Calibri" w:hAnsi="Arial" w:cs="Times New Roman"/>
                <w:sz w:val="23"/>
              </w:rPr>
              <w:t>is of the opinion that a merger into one fund would be likely to break the direct link between the scheme and local government by taking the fund out of local government control; and whilst a fund of this size would undoubtedly enjoy some benefits of scale (in certain asset classes), size is not a guarantor, nor necessarily a determinant of success.</w:t>
            </w:r>
            <w:proofErr w:type="gramEnd"/>
          </w:p>
          <w:p w:rsidR="0094744B" w:rsidRPr="004463A9" w:rsidRDefault="0094744B" w:rsidP="004463A9">
            <w:pPr>
              <w:pStyle w:val="ListParagraph"/>
              <w:numPr>
                <w:ilvl w:val="0"/>
                <w:numId w:val="24"/>
              </w:numPr>
              <w:spacing w:after="240" w:line="240" w:lineRule="auto"/>
              <w:rPr>
                <w:rFonts w:ascii="Arial" w:eastAsia="Calibri" w:hAnsi="Arial" w:cs="Times New Roman"/>
                <w:sz w:val="23"/>
              </w:rPr>
            </w:pPr>
            <w:r w:rsidRPr="004463A9">
              <w:rPr>
                <w:rFonts w:ascii="Arial" w:eastAsia="Calibri" w:hAnsi="Arial" w:cs="Times New Roman"/>
                <w:sz w:val="23"/>
              </w:rPr>
              <w:t xml:space="preserve">The UK’s </w:t>
            </w:r>
            <w:proofErr w:type="gramStart"/>
            <w:r w:rsidRPr="004463A9">
              <w:rPr>
                <w:rFonts w:ascii="Arial" w:eastAsia="Calibri" w:hAnsi="Arial" w:cs="Times New Roman"/>
                <w:sz w:val="23"/>
              </w:rPr>
              <w:t>2</w:t>
            </w:r>
            <w:proofErr w:type="gramEnd"/>
            <w:r w:rsidRPr="004463A9">
              <w:rPr>
                <w:rFonts w:ascii="Arial" w:eastAsia="Calibri" w:hAnsi="Arial" w:cs="Times New Roman"/>
                <w:sz w:val="23"/>
              </w:rPr>
              <w:t xml:space="preserve"> largest pension funds are the Universities Superannuation Scheme (USS) and the British Telecom Pension Scheme (BTPS). Both have assets of around £50 billion (a little more than the combined value of the Scottish LGPS funds). Both </w:t>
            </w:r>
            <w:proofErr w:type="gramStart"/>
            <w:r w:rsidRPr="004463A9">
              <w:rPr>
                <w:rFonts w:ascii="Arial" w:eastAsia="Calibri" w:hAnsi="Arial" w:cs="Times New Roman"/>
                <w:sz w:val="23"/>
              </w:rPr>
              <w:t>are very well managed</w:t>
            </w:r>
            <w:proofErr w:type="gramEnd"/>
            <w:r w:rsidRPr="004463A9">
              <w:rPr>
                <w:rFonts w:ascii="Arial" w:eastAsia="Calibri" w:hAnsi="Arial" w:cs="Times New Roman"/>
                <w:sz w:val="23"/>
              </w:rPr>
              <w:t xml:space="preserve"> in many respects. Yet both have significant funding deficits – in excess of £10 billion in each case – and are contemplating, or have effected closure of their schemes to new defined benefit accrual.</w:t>
            </w:r>
          </w:p>
        </w:tc>
      </w:tr>
    </w:tbl>
    <w:p w:rsidR="0094744B" w:rsidRPr="0094744B" w:rsidRDefault="0094744B" w:rsidP="0094744B">
      <w:pPr>
        <w:spacing w:after="240" w:line="240" w:lineRule="auto"/>
        <w:jc w:val="right"/>
        <w:rPr>
          <w:rFonts w:ascii="Arial" w:eastAsia="Times New Roman" w:hAnsi="Arial" w:cs="Times New Roman"/>
          <w:sz w:val="23"/>
          <w:szCs w:val="20"/>
        </w:rPr>
      </w:pPr>
      <w:r w:rsidRPr="0094744B">
        <w:rPr>
          <w:rFonts w:ascii="Arial" w:eastAsia="Times New Roman" w:hAnsi="Arial" w:cs="Times New Roman"/>
          <w:sz w:val="23"/>
          <w:szCs w:val="20"/>
        </w:rPr>
        <w:lastRenderedPageBreak/>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4744B" w:rsidRPr="0094744B" w:rsidTr="003F6388">
        <w:tc>
          <w:tcPr>
            <w:tcW w:w="9026" w:type="dxa"/>
            <w:tcBorders>
              <w:top w:val="nil"/>
              <w:left w:val="nil"/>
              <w:right w:val="nil"/>
            </w:tcBorders>
            <w:shd w:val="clear" w:color="auto" w:fill="auto"/>
          </w:tcPr>
          <w:p w:rsidR="0094744B" w:rsidRPr="0094744B" w:rsidRDefault="0094744B" w:rsidP="0094744B">
            <w:pPr>
              <w:keepNext/>
              <w:keepLines/>
              <w:spacing w:after="0" w:line="240" w:lineRule="auto"/>
              <w:outlineLvl w:val="1"/>
              <w:rPr>
                <w:rFonts w:ascii="Arial" w:eastAsia="Calibri" w:hAnsi="Arial" w:cs="Times New Roman"/>
                <w:b/>
                <w:bCs/>
                <w:sz w:val="28"/>
                <w:szCs w:val="26"/>
              </w:rPr>
            </w:pPr>
            <w:r w:rsidRPr="0094744B">
              <w:rPr>
                <w:rFonts w:ascii="Arial" w:eastAsia="Calibri" w:hAnsi="Arial" w:cs="Times New Roman"/>
                <w:b/>
                <w:bCs/>
                <w:sz w:val="28"/>
                <w:szCs w:val="26"/>
              </w:rPr>
              <w:t>Question 5: Preferred and additional options</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The text can wrap onto additional pages.</w:t>
            </w:r>
          </w:p>
        </w:tc>
      </w:tr>
      <w:tr w:rsidR="0094744B" w:rsidRPr="0094744B" w:rsidTr="003F6388">
        <w:tc>
          <w:tcPr>
            <w:tcW w:w="9026" w:type="dxa"/>
            <w:shd w:val="clear" w:color="auto" w:fill="auto"/>
          </w:tcPr>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Which option does your </w:t>
            </w:r>
            <w:proofErr w:type="spellStart"/>
            <w:r w:rsidRPr="0094744B">
              <w:rPr>
                <w:rFonts w:ascii="Arial" w:eastAsia="Calibri" w:hAnsi="Arial" w:cs="Times New Roman"/>
                <w:b/>
                <w:sz w:val="23"/>
                <w:lang w:val="en-US"/>
              </w:rPr>
              <w:t>organisation</w:t>
            </w:r>
            <w:proofErr w:type="spellEnd"/>
            <w:r w:rsidRPr="0094744B">
              <w:rPr>
                <w:rFonts w:ascii="Arial" w:eastAsia="Calibri" w:hAnsi="Arial" w:cs="Times New Roman"/>
                <w:b/>
                <w:sz w:val="23"/>
                <w:lang w:val="en-US"/>
              </w:rPr>
              <w:t xml:space="preserve"> prefer? Please explain your preference.</w:t>
            </w:r>
          </w:p>
          <w:p w:rsidR="0094744B" w:rsidRPr="004463A9" w:rsidRDefault="004D5B0F" w:rsidP="004463A9">
            <w:pPr>
              <w:pStyle w:val="ListParagraph"/>
              <w:numPr>
                <w:ilvl w:val="0"/>
                <w:numId w:val="2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is of the opinion that TPF already enjoys considerable benefits of scale in terms of </w:t>
            </w:r>
            <w:proofErr w:type="gramStart"/>
            <w:r w:rsidR="0094744B" w:rsidRPr="004463A9">
              <w:rPr>
                <w:rFonts w:ascii="Arial" w:eastAsia="Calibri" w:hAnsi="Arial" w:cs="Times New Roman"/>
                <w:sz w:val="23"/>
                <w:lang w:val="en-US"/>
              </w:rPr>
              <w:t>cost which</w:t>
            </w:r>
            <w:proofErr w:type="gramEnd"/>
            <w:r w:rsidR="0094744B" w:rsidRPr="004463A9">
              <w:rPr>
                <w:rFonts w:ascii="Arial" w:eastAsia="Calibri" w:hAnsi="Arial" w:cs="Times New Roman"/>
                <w:sz w:val="23"/>
                <w:lang w:val="en-US"/>
              </w:rPr>
              <w:t xml:space="preserve"> is demonstrated by the independent annual reviews undertaken by Audit Scotland.  </w:t>
            </w:r>
          </w:p>
          <w:p w:rsidR="0094744B" w:rsidRPr="004463A9" w:rsidRDefault="004D5B0F" w:rsidP="004463A9">
            <w:pPr>
              <w:pStyle w:val="ListParagraph"/>
              <w:numPr>
                <w:ilvl w:val="0"/>
                <w:numId w:val="2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is comfortable that TPF has in place an appropriate and effective governance structure and risk management processes.  </w:t>
            </w:r>
          </w:p>
          <w:p w:rsidR="0094744B" w:rsidRPr="004463A9" w:rsidRDefault="004D5B0F" w:rsidP="004463A9">
            <w:pPr>
              <w:pStyle w:val="ListParagraph"/>
              <w:numPr>
                <w:ilvl w:val="0"/>
                <w:numId w:val="2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do not believe that it is clear what </w:t>
            </w:r>
            <w:proofErr w:type="gramStart"/>
            <w:r w:rsidR="0094744B" w:rsidRPr="004463A9">
              <w:rPr>
                <w:rFonts w:ascii="Arial" w:eastAsia="Calibri" w:hAnsi="Arial" w:cs="Times New Roman"/>
                <w:sz w:val="23"/>
                <w:lang w:val="en-US"/>
              </w:rPr>
              <w:t>would be gained by members or employers from the proposed alternative models of pooled or merged funds</w:t>
            </w:r>
            <w:proofErr w:type="gramEnd"/>
            <w:r w:rsidR="0094744B" w:rsidRPr="004463A9">
              <w:rPr>
                <w:rFonts w:ascii="Arial" w:eastAsia="Calibri" w:hAnsi="Arial" w:cs="Times New Roman"/>
                <w:sz w:val="23"/>
                <w:lang w:val="en-US"/>
              </w:rPr>
              <w:t xml:space="preserve">. It is certain, though, that there would be significant costs and risks associated with any change, and any pooling or merger of funds should only occur where individual funds </w:t>
            </w:r>
            <w:proofErr w:type="gramStart"/>
            <w:r w:rsidR="0094744B" w:rsidRPr="004463A9">
              <w:rPr>
                <w:rFonts w:ascii="Arial" w:eastAsia="Calibri" w:hAnsi="Arial" w:cs="Times New Roman"/>
                <w:sz w:val="23"/>
                <w:lang w:val="en-US"/>
              </w:rPr>
              <w:t>are in agreement</w:t>
            </w:r>
            <w:proofErr w:type="gramEnd"/>
            <w:r w:rsidR="0094744B" w:rsidRPr="004463A9">
              <w:rPr>
                <w:rFonts w:ascii="Arial" w:eastAsia="Calibri" w:hAnsi="Arial" w:cs="Times New Roman"/>
                <w:sz w:val="23"/>
                <w:lang w:val="en-US"/>
              </w:rPr>
              <w:t xml:space="preserve"> that this would be to the benefit of their members and employers.  </w:t>
            </w:r>
          </w:p>
          <w:p w:rsidR="004463A9" w:rsidRDefault="004D5B0F" w:rsidP="004463A9">
            <w:pPr>
              <w:pStyle w:val="ListParagraph"/>
              <w:numPr>
                <w:ilvl w:val="0"/>
                <w:numId w:val="25"/>
              </w:numPr>
              <w:spacing w:after="240" w:line="240" w:lineRule="auto"/>
              <w:rPr>
                <w:rFonts w:ascii="Arial" w:eastAsia="Calibri" w:hAnsi="Arial" w:cs="Times New Roman"/>
                <w:sz w:val="23"/>
                <w:lang w:val="en-US"/>
              </w:rPr>
            </w:pPr>
            <w:proofErr w:type="spellStart"/>
            <w:proofErr w:type="gram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is patently aware that TPF has a low contribution rate which is based upon the </w:t>
            </w:r>
            <w:proofErr w:type="spellStart"/>
            <w:r w:rsidR="0094744B" w:rsidRPr="004463A9">
              <w:rPr>
                <w:rFonts w:ascii="Arial" w:eastAsia="Calibri" w:hAnsi="Arial" w:cs="Times New Roman"/>
                <w:sz w:val="23"/>
                <w:lang w:val="en-US"/>
              </w:rPr>
              <w:t>localised</w:t>
            </w:r>
            <w:proofErr w:type="spellEnd"/>
            <w:r w:rsidR="0094744B" w:rsidRPr="004463A9">
              <w:rPr>
                <w:rFonts w:ascii="Arial" w:eastAsia="Calibri" w:hAnsi="Arial" w:cs="Times New Roman"/>
                <w:sz w:val="23"/>
                <w:lang w:val="en-US"/>
              </w:rPr>
              <w:t xml:space="preserve"> asset and liability profile of the fund, its underlying funding position and bespoke investment strategy, and whilst protection would be sought to retain this should the pooling or merger option be chosen as the optimal structure, there is no guarantee that any future investment strategy determined at larger scale would sustain this.</w:t>
            </w:r>
            <w:proofErr w:type="gramEnd"/>
            <w:r w:rsidR="0094744B" w:rsidRPr="004463A9">
              <w:rPr>
                <w:rFonts w:ascii="Arial" w:eastAsia="Calibri" w:hAnsi="Arial" w:cs="Times New Roman"/>
                <w:sz w:val="23"/>
                <w:lang w:val="en-US"/>
              </w:rPr>
              <w:t xml:space="preserve">  </w:t>
            </w:r>
          </w:p>
          <w:p w:rsidR="004463A9" w:rsidRDefault="0094744B" w:rsidP="004463A9">
            <w:pPr>
              <w:pStyle w:val="ListParagraph"/>
              <w:numPr>
                <w:ilvl w:val="0"/>
                <w:numId w:val="25"/>
              </w:numPr>
              <w:spacing w:after="240" w:line="240" w:lineRule="auto"/>
              <w:rPr>
                <w:rFonts w:ascii="Arial" w:eastAsia="Calibri" w:hAnsi="Arial" w:cs="Times New Roman"/>
                <w:sz w:val="23"/>
                <w:lang w:val="en-US"/>
              </w:rPr>
            </w:pPr>
            <w:r w:rsidRPr="004463A9">
              <w:rPr>
                <w:rFonts w:ascii="Arial" w:eastAsia="Calibri" w:hAnsi="Arial" w:cs="Times New Roman"/>
                <w:sz w:val="23"/>
                <w:lang w:val="en-US"/>
              </w:rPr>
              <w:t xml:space="preserve">The risks that a change of structure that could result in a rise in employer contribution rates, and in turn a potential change in benefits would not be supported by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4463A9">
              <w:rPr>
                <w:rFonts w:ascii="Arial" w:eastAsia="Calibri" w:hAnsi="Arial" w:cs="Times New Roman"/>
                <w:sz w:val="23"/>
                <w:lang w:val="en-US"/>
              </w:rPr>
              <w:t xml:space="preserve"> </w:t>
            </w:r>
            <w:r w:rsidRPr="004463A9">
              <w:rPr>
                <w:rFonts w:ascii="Arial" w:eastAsia="Calibri" w:hAnsi="Arial" w:cs="Times New Roman"/>
                <w:sz w:val="23"/>
                <w:lang w:val="en-US"/>
              </w:rPr>
              <w:t xml:space="preserve">as this would not be in the best interest of the scheme membership.  </w:t>
            </w:r>
          </w:p>
          <w:p w:rsidR="0094744B" w:rsidRPr="004463A9" w:rsidRDefault="004D5B0F" w:rsidP="004463A9">
            <w:pPr>
              <w:pStyle w:val="ListParagraph"/>
              <w:numPr>
                <w:ilvl w:val="0"/>
                <w:numId w:val="25"/>
              </w:numPr>
              <w:spacing w:after="240" w:line="240" w:lineRule="auto"/>
              <w:rPr>
                <w:rFonts w:ascii="Arial" w:eastAsia="Calibri" w:hAnsi="Arial" w:cs="Times New Roman"/>
                <w:sz w:val="23"/>
                <w:lang w:val="en-US"/>
              </w:rPr>
            </w:pPr>
            <w:proofErr w:type="spellStart"/>
            <w:r>
              <w:rPr>
                <w:rFonts w:ascii="Arial" w:eastAsia="Calibri" w:hAnsi="Arial" w:cs="Times New Roman"/>
                <w:color w:val="000000" w:themeColor="text1"/>
                <w:sz w:val="23"/>
              </w:rPr>
              <w:lastRenderedPageBreak/>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lang w:val="en-US"/>
              </w:rPr>
              <w:t xml:space="preserve"> </w:t>
            </w:r>
            <w:r w:rsidR="0094744B" w:rsidRPr="004463A9">
              <w:rPr>
                <w:rFonts w:ascii="Arial" w:eastAsia="Calibri" w:hAnsi="Arial" w:cs="Times New Roman"/>
                <w:sz w:val="23"/>
                <w:lang w:val="en-US"/>
              </w:rPr>
              <w:t xml:space="preserve">believe pension provision to be a very long-term undertaking, and that any structural development </w:t>
            </w:r>
            <w:proofErr w:type="gramStart"/>
            <w:r w:rsidR="0094744B" w:rsidRPr="004463A9">
              <w:rPr>
                <w:rFonts w:ascii="Arial" w:eastAsia="Calibri" w:hAnsi="Arial" w:cs="Times New Roman"/>
                <w:sz w:val="23"/>
                <w:lang w:val="en-US"/>
              </w:rPr>
              <w:t>should be clearly focused</w:t>
            </w:r>
            <w:proofErr w:type="gramEnd"/>
            <w:r w:rsidR="0094744B" w:rsidRPr="004463A9">
              <w:rPr>
                <w:rFonts w:ascii="Arial" w:eastAsia="Calibri" w:hAnsi="Arial" w:cs="Times New Roman"/>
                <w:sz w:val="23"/>
                <w:lang w:val="en-US"/>
              </w:rPr>
              <w:t xml:space="preserve"> on the long-term sustainability.  </w:t>
            </w:r>
          </w:p>
          <w:p w:rsidR="0094744B" w:rsidRPr="0094744B" w:rsidRDefault="004D5B0F" w:rsidP="0094744B">
            <w:pPr>
              <w:spacing w:after="240" w:line="240" w:lineRule="auto"/>
              <w:ind w:left="68"/>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as an employer support TPF’s preferred option to develop a more collaborative structure (option 2) which could generate advantages across all funds without disruption, transitional cost and likely unintended consequences that merging or pooling would produce.  </w:t>
            </w:r>
          </w:p>
          <w:p w:rsidR="0094744B" w:rsidRPr="0094744B" w:rsidRDefault="004D5B0F" w:rsidP="0094744B">
            <w:pPr>
              <w:spacing w:after="240" w:line="240" w:lineRule="auto"/>
              <w:ind w:left="68"/>
              <w:rPr>
                <w:rFonts w:ascii="Arial" w:eastAsia="Calibri" w:hAnsi="Arial" w:cs="Times New Roman"/>
                <w:sz w:val="23"/>
                <w:lang w:val="en-US"/>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 xml:space="preserve">is aware the Scottish LGPS has established communications networks between funds (both investment and administration), but that the current focus is largely on information sharing and </w:t>
            </w:r>
            <w:proofErr w:type="gramStart"/>
            <w:r w:rsidR="0094744B" w:rsidRPr="0094744B">
              <w:rPr>
                <w:rFonts w:ascii="Arial" w:eastAsia="Calibri" w:hAnsi="Arial" w:cs="Times New Roman"/>
                <w:sz w:val="23"/>
                <w:lang w:val="en-US"/>
              </w:rPr>
              <w:t>problem-solving</w:t>
            </w:r>
            <w:proofErr w:type="gramEnd"/>
            <w:r w:rsidR="0094744B" w:rsidRPr="0094744B">
              <w:rPr>
                <w:rFonts w:ascii="Arial" w:eastAsia="Calibri" w:hAnsi="Arial" w:cs="Times New Roman"/>
                <w:sz w:val="23"/>
                <w:lang w:val="en-US"/>
              </w:rPr>
              <w:t xml:space="preserve"> rather than structural development.  </w:t>
            </w: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lang w:val="en-US"/>
              </w:rPr>
              <w:t xml:space="preserve"> </w:t>
            </w:r>
            <w:r w:rsidR="0094744B" w:rsidRPr="0094744B">
              <w:rPr>
                <w:rFonts w:ascii="Arial" w:eastAsia="Calibri" w:hAnsi="Arial" w:cs="Times New Roman"/>
                <w:sz w:val="23"/>
                <w:lang w:val="en-US"/>
              </w:rPr>
              <w:t>would support TPF in welcoming the opportunity to collaborate in areas such as investment opportunities; procurement; ESG &amp; governance issues</w:t>
            </w:r>
            <w:proofErr w:type="gramStart"/>
            <w:r w:rsidR="0094744B" w:rsidRPr="0094744B">
              <w:rPr>
                <w:rFonts w:ascii="Arial" w:eastAsia="Calibri" w:hAnsi="Arial" w:cs="Times New Roman"/>
                <w:sz w:val="23"/>
                <w:lang w:val="en-US"/>
              </w:rPr>
              <w:t>;</w:t>
            </w:r>
            <w:proofErr w:type="gramEnd"/>
            <w:r w:rsidR="0094744B" w:rsidRPr="0094744B">
              <w:rPr>
                <w:rFonts w:ascii="Arial" w:eastAsia="Calibri" w:hAnsi="Arial" w:cs="Times New Roman"/>
                <w:sz w:val="23"/>
                <w:lang w:val="en-US"/>
              </w:rPr>
              <w:t xml:space="preserve"> administration.</w:t>
            </w: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 xml:space="preserve">What other options </w:t>
            </w:r>
            <w:proofErr w:type="gramStart"/>
            <w:r w:rsidRPr="0094744B">
              <w:rPr>
                <w:rFonts w:ascii="Arial" w:eastAsia="Calibri" w:hAnsi="Arial" w:cs="Times New Roman"/>
                <w:b/>
                <w:sz w:val="23"/>
                <w:lang w:val="en-US"/>
              </w:rPr>
              <w:t>should be considered</w:t>
            </w:r>
            <w:proofErr w:type="gramEnd"/>
            <w:r w:rsidRPr="0094744B">
              <w:rPr>
                <w:rFonts w:ascii="Arial" w:eastAsia="Calibri" w:hAnsi="Arial" w:cs="Times New Roman"/>
                <w:b/>
                <w:sz w:val="23"/>
                <w:lang w:val="en-US"/>
              </w:rPr>
              <w:t xml:space="preserve"> for the future structure of the LGPS?</w:t>
            </w:r>
          </w:p>
          <w:p w:rsidR="0094744B" w:rsidRPr="0094744B" w:rsidRDefault="004D5B0F" w:rsidP="0094744B">
            <w:p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rPr>
              <w:t xml:space="preserve"> </w:t>
            </w:r>
            <w:r w:rsidR="0094744B" w:rsidRPr="0094744B">
              <w:rPr>
                <w:rFonts w:ascii="Arial" w:eastAsia="Calibri" w:hAnsi="Arial" w:cs="Times New Roman"/>
                <w:sz w:val="23"/>
              </w:rPr>
              <w:t>believe that collaborative initiatives might include the following:</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development of a forward-looking programme to consider potential initiatives such as:</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investment, including in infrastructure</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framework procurement</w:t>
            </w:r>
          </w:p>
          <w:p w:rsidR="0094744B" w:rsidRPr="0094744B" w:rsidRDefault="0094744B" w:rsidP="0094744B">
            <w:pPr>
              <w:numPr>
                <w:ilvl w:val="1"/>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or shared diligence</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joint engagement on environmental, social or governance issues</w:t>
            </w:r>
          </w:p>
          <w:p w:rsidR="0094744B" w:rsidRPr="0094744B" w:rsidRDefault="0094744B" w:rsidP="0094744B">
            <w:pPr>
              <w:numPr>
                <w:ilvl w:val="0"/>
                <w:numId w:val="9"/>
              </w:numPr>
              <w:spacing w:after="240" w:line="240" w:lineRule="auto"/>
              <w:contextualSpacing/>
              <w:rPr>
                <w:rFonts w:ascii="Arial" w:eastAsia="Calibri" w:hAnsi="Arial" w:cs="Times New Roman"/>
                <w:sz w:val="23"/>
              </w:rPr>
            </w:pPr>
            <w:proofErr w:type="gramStart"/>
            <w:r w:rsidRPr="0094744B">
              <w:rPr>
                <w:rFonts w:ascii="Arial" w:eastAsia="Calibri" w:hAnsi="Arial" w:cs="Times New Roman"/>
                <w:sz w:val="23"/>
              </w:rPr>
              <w:t>shared</w:t>
            </w:r>
            <w:proofErr w:type="gramEnd"/>
            <w:r w:rsidRPr="0094744B">
              <w:rPr>
                <w:rFonts w:ascii="Arial" w:eastAsia="Calibri" w:hAnsi="Arial" w:cs="Times New Roman"/>
                <w:sz w:val="23"/>
              </w:rPr>
              <w:t xml:space="preserve"> communications and administration (e.g. GMP) where applicable.</w:t>
            </w:r>
          </w:p>
          <w:p w:rsidR="0094744B" w:rsidRDefault="0094744B" w:rsidP="0094744B">
            <w:pPr>
              <w:numPr>
                <w:ilvl w:val="0"/>
                <w:numId w:val="9"/>
              </w:numPr>
              <w:spacing w:after="240" w:line="240" w:lineRule="auto"/>
              <w:contextualSpacing/>
              <w:rPr>
                <w:rFonts w:ascii="Arial" w:eastAsia="Calibri" w:hAnsi="Arial" w:cs="Times New Roman"/>
                <w:sz w:val="23"/>
              </w:rPr>
            </w:pPr>
            <w:r w:rsidRPr="0094744B">
              <w:rPr>
                <w:rFonts w:ascii="Arial" w:eastAsia="Calibri" w:hAnsi="Arial" w:cs="Times New Roman"/>
                <w:sz w:val="23"/>
              </w:rPr>
              <w:t>a regular, formalised meeting of fund conveners</w:t>
            </w:r>
          </w:p>
          <w:p w:rsidR="004D5B0F" w:rsidRPr="0094744B" w:rsidRDefault="004D5B0F" w:rsidP="004D5B0F">
            <w:pPr>
              <w:spacing w:after="240" w:line="240" w:lineRule="auto"/>
              <w:ind w:left="780"/>
              <w:contextualSpacing/>
              <w:rPr>
                <w:rFonts w:ascii="Arial" w:eastAsia="Calibri" w:hAnsi="Arial" w:cs="Times New Roman"/>
                <w:sz w:val="23"/>
              </w:rPr>
            </w:pP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What would be the advantages and disadvantages of these other option for funds’ investment costs, governance, operating risks and ability to invest in infrastructure?</w:t>
            </w:r>
          </w:p>
          <w:p w:rsidR="0094744B" w:rsidRPr="0094744B" w:rsidRDefault="004D5B0F" w:rsidP="0094744B">
            <w:p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94744B">
              <w:rPr>
                <w:rFonts w:ascii="Arial" w:eastAsia="Calibri" w:hAnsi="Arial" w:cs="Times New Roman"/>
                <w:sz w:val="23"/>
              </w:rPr>
              <w:t xml:space="preserve"> </w:t>
            </w:r>
            <w:r w:rsidR="0094744B" w:rsidRPr="0094744B">
              <w:rPr>
                <w:rFonts w:ascii="Arial" w:eastAsia="Calibri" w:hAnsi="Arial" w:cs="Times New Roman"/>
                <w:sz w:val="23"/>
              </w:rPr>
              <w:t xml:space="preserve">believe that the development of collaborative base as suggested </w:t>
            </w:r>
            <w:proofErr w:type="gramStart"/>
            <w:r w:rsidR="0094744B" w:rsidRPr="0094744B">
              <w:rPr>
                <w:rFonts w:ascii="Arial" w:eastAsia="Calibri" w:hAnsi="Arial" w:cs="Times New Roman"/>
                <w:sz w:val="23"/>
              </w:rPr>
              <w:t>above,</w:t>
            </w:r>
            <w:proofErr w:type="gramEnd"/>
            <w:r w:rsidR="0094744B" w:rsidRPr="0094744B">
              <w:rPr>
                <w:rFonts w:ascii="Arial" w:eastAsia="Calibri" w:hAnsi="Arial" w:cs="Times New Roman"/>
                <w:sz w:val="23"/>
              </w:rPr>
              <w:t xml:space="preserve"> could generate many of the advantages of the individual options identified without the disruption, transitional cost and likely unintended consequences that selecting and mandating one option would produce.</w:t>
            </w:r>
          </w:p>
          <w:p w:rsidR="0094744B" w:rsidRPr="0094744B" w:rsidRDefault="0094744B" w:rsidP="0094744B">
            <w:pPr>
              <w:numPr>
                <w:ilvl w:val="0"/>
                <w:numId w:val="2"/>
              </w:numPr>
              <w:spacing w:after="240" w:line="240" w:lineRule="auto"/>
              <w:rPr>
                <w:rFonts w:ascii="Arial" w:eastAsia="Calibri" w:hAnsi="Arial" w:cs="Times New Roman"/>
                <w:b/>
                <w:sz w:val="23"/>
                <w:lang w:val="en-US"/>
              </w:rPr>
            </w:pPr>
            <w:r w:rsidRPr="0094744B">
              <w:rPr>
                <w:rFonts w:ascii="Arial" w:eastAsia="Calibri" w:hAnsi="Arial" w:cs="Times New Roman"/>
                <w:b/>
                <w:sz w:val="23"/>
                <w:lang w:val="en-US"/>
              </w:rPr>
              <w:t>Are there any other comments you would like to make?</w:t>
            </w:r>
          </w:p>
          <w:p w:rsidR="0094744B" w:rsidRPr="004463A9" w:rsidRDefault="004D5B0F" w:rsidP="004463A9">
            <w:pPr>
              <w:pStyle w:val="ListParagraph"/>
              <w:numPr>
                <w:ilvl w:val="0"/>
                <w:numId w:val="2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rPr>
              <w:t xml:space="preserve"> </w:t>
            </w:r>
            <w:r w:rsidR="0094744B" w:rsidRPr="004463A9">
              <w:rPr>
                <w:rFonts w:ascii="Arial" w:eastAsia="Calibri" w:hAnsi="Arial" w:cs="Times New Roman"/>
                <w:sz w:val="23"/>
              </w:rPr>
              <w:t xml:space="preserve">believe that pension provision is a very long-term undertaking, and the prime objective is to act in the best interest of the members in order to meet their requirements, therefore any structural change should be clearly strategically focused on the long-term benefits of the members rather than any external objectives.  </w:t>
            </w:r>
          </w:p>
          <w:p w:rsidR="004463A9" w:rsidRDefault="004D5B0F" w:rsidP="004463A9">
            <w:pPr>
              <w:pStyle w:val="ListParagraph"/>
              <w:numPr>
                <w:ilvl w:val="0"/>
                <w:numId w:val="2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rPr>
              <w:t xml:space="preserve"> </w:t>
            </w:r>
            <w:r w:rsidR="0094744B" w:rsidRPr="004463A9">
              <w:rPr>
                <w:rFonts w:ascii="Arial" w:eastAsia="Calibri" w:hAnsi="Arial" w:cs="Times New Roman"/>
                <w:sz w:val="23"/>
              </w:rPr>
              <w:t xml:space="preserve">believe that a fund should only be embarking upon arrangement to pool or merge if stakeholders unanimously believe that the decision is in the best interests of their members to whom they have fiduciary duty to act in their best interest.  </w:t>
            </w:r>
          </w:p>
          <w:p w:rsidR="0094744B" w:rsidRPr="004463A9" w:rsidRDefault="004D5B0F" w:rsidP="004463A9">
            <w:pPr>
              <w:pStyle w:val="ListParagraph"/>
              <w:numPr>
                <w:ilvl w:val="0"/>
                <w:numId w:val="2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rPr>
              <w:t xml:space="preserve"> </w:t>
            </w:r>
            <w:r w:rsidR="0094744B" w:rsidRPr="004463A9">
              <w:rPr>
                <w:rFonts w:ascii="Arial" w:eastAsia="Calibri" w:hAnsi="Arial" w:cs="Times New Roman"/>
                <w:sz w:val="23"/>
              </w:rPr>
              <w:t>do not believe that pooling or merging would be in the best interest of their members.</w:t>
            </w:r>
          </w:p>
          <w:p w:rsidR="0094744B" w:rsidRPr="004463A9" w:rsidRDefault="004D5B0F" w:rsidP="004463A9">
            <w:pPr>
              <w:pStyle w:val="ListParagraph"/>
              <w:numPr>
                <w:ilvl w:val="0"/>
                <w:numId w:val="26"/>
              </w:numPr>
              <w:spacing w:after="240" w:line="240" w:lineRule="auto"/>
              <w:rPr>
                <w:rFonts w:ascii="Arial" w:eastAsia="Calibri" w:hAnsi="Arial" w:cs="Times New Roman"/>
                <w:sz w:val="23"/>
              </w:rPr>
            </w:pPr>
            <w:proofErr w:type="spellStart"/>
            <w:r>
              <w:rPr>
                <w:rFonts w:ascii="Arial" w:eastAsia="Calibri" w:hAnsi="Arial" w:cs="Times New Roman"/>
                <w:color w:val="000000" w:themeColor="text1"/>
                <w:sz w:val="23"/>
              </w:rPr>
              <w:lastRenderedPageBreak/>
              <w:t>Abertay</w:t>
            </w:r>
            <w:proofErr w:type="spellEnd"/>
            <w:r>
              <w:rPr>
                <w:rFonts w:ascii="Arial" w:eastAsia="Calibri" w:hAnsi="Arial" w:cs="Times New Roman"/>
                <w:color w:val="000000" w:themeColor="text1"/>
                <w:sz w:val="23"/>
              </w:rPr>
              <w:t xml:space="preserve"> University</w:t>
            </w:r>
            <w:r w:rsidRPr="004463A9">
              <w:rPr>
                <w:rFonts w:ascii="Arial" w:eastAsia="Calibri" w:hAnsi="Arial" w:cs="Times New Roman"/>
                <w:sz w:val="23"/>
              </w:rPr>
              <w:t xml:space="preserve"> </w:t>
            </w:r>
            <w:r w:rsidR="0094744B" w:rsidRPr="004463A9">
              <w:rPr>
                <w:rFonts w:ascii="Arial" w:eastAsia="Calibri" w:hAnsi="Arial" w:cs="Times New Roman"/>
                <w:sz w:val="23"/>
              </w:rPr>
              <w:t>is very aware that changes to the structure could, however, affect employers directly – their contribution rates are impacted by investment returns and funding.  Some fund employers would not be able to accommodate change to contribution rates, furthermore, and which would be as a result as a drop in funding level would not be in the best interest of the scheme membership.</w:t>
            </w:r>
          </w:p>
          <w:p w:rsidR="0094744B" w:rsidRPr="0094744B" w:rsidRDefault="0094744B" w:rsidP="0094744B">
            <w:pPr>
              <w:spacing w:after="240" w:line="240" w:lineRule="auto"/>
              <w:rPr>
                <w:rFonts w:ascii="Arial" w:eastAsia="Calibri" w:hAnsi="Arial" w:cs="Times New Roman"/>
                <w:sz w:val="23"/>
              </w:rPr>
            </w:pPr>
            <w:r w:rsidRPr="0094744B">
              <w:rPr>
                <w:rFonts w:ascii="Arial" w:eastAsia="Calibri" w:hAnsi="Arial" w:cs="Times New Roman"/>
                <w:sz w:val="23"/>
              </w:rPr>
              <w:t xml:space="preserve">In light of the above risks, </w:t>
            </w:r>
            <w:proofErr w:type="spellStart"/>
            <w:r w:rsidR="004D5B0F">
              <w:rPr>
                <w:rFonts w:ascii="Arial" w:eastAsia="Calibri" w:hAnsi="Arial" w:cs="Times New Roman"/>
                <w:color w:val="000000" w:themeColor="text1"/>
                <w:sz w:val="23"/>
              </w:rPr>
              <w:t>Abertay</w:t>
            </w:r>
            <w:proofErr w:type="spellEnd"/>
            <w:r w:rsidR="004D5B0F">
              <w:rPr>
                <w:rFonts w:ascii="Arial" w:eastAsia="Calibri" w:hAnsi="Arial" w:cs="Times New Roman"/>
                <w:color w:val="000000" w:themeColor="text1"/>
                <w:sz w:val="23"/>
              </w:rPr>
              <w:t xml:space="preserve"> University</w:t>
            </w:r>
            <w:r w:rsidR="004D5B0F" w:rsidRPr="0094744B">
              <w:rPr>
                <w:rFonts w:ascii="Arial" w:eastAsia="Calibri" w:hAnsi="Arial" w:cs="Times New Roman"/>
                <w:sz w:val="23"/>
              </w:rPr>
              <w:t xml:space="preserve"> </w:t>
            </w:r>
            <w:bookmarkStart w:id="0" w:name="_GoBack"/>
            <w:bookmarkEnd w:id="0"/>
            <w:r w:rsidRPr="0094744B">
              <w:rPr>
                <w:rFonts w:ascii="Arial" w:eastAsia="Calibri" w:hAnsi="Arial" w:cs="Times New Roman"/>
                <w:sz w:val="23"/>
              </w:rPr>
              <w:t>could not support any option which could result in an increase in contribution rates which would be unaffordable.</w:t>
            </w:r>
          </w:p>
        </w:tc>
      </w:tr>
    </w:tbl>
    <w:p w:rsidR="0094744B" w:rsidRPr="0094744B" w:rsidRDefault="0094744B" w:rsidP="0094744B">
      <w:pPr>
        <w:spacing w:after="240" w:line="240" w:lineRule="auto"/>
        <w:jc w:val="right"/>
        <w:rPr>
          <w:rFonts w:ascii="Arial" w:eastAsia="Times New Roman" w:hAnsi="Arial" w:cs="Times New Roman"/>
          <w:sz w:val="23"/>
          <w:szCs w:val="20"/>
        </w:rPr>
      </w:pPr>
    </w:p>
    <w:p w:rsidR="00A46601" w:rsidRDefault="0094744B" w:rsidP="004463A9">
      <w:pPr>
        <w:spacing w:after="240" w:line="240" w:lineRule="auto"/>
        <w:jc w:val="right"/>
      </w:pPr>
      <w:r w:rsidRPr="0094744B">
        <w:rPr>
          <w:rFonts w:ascii="Arial" w:eastAsia="Times New Roman" w:hAnsi="Arial" w:cs="Times New Roman"/>
          <w:sz w:val="23"/>
          <w:szCs w:val="20"/>
        </w:rPr>
        <w:t>The consultation questions end.</w:t>
      </w:r>
    </w:p>
    <w:sectPr w:rsidR="00A46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B2ACF"/>
    <w:multiLevelType w:val="hybridMultilevel"/>
    <w:tmpl w:val="DDE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47195"/>
    <w:multiLevelType w:val="hybridMultilevel"/>
    <w:tmpl w:val="349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F0301"/>
    <w:multiLevelType w:val="hybridMultilevel"/>
    <w:tmpl w:val="CBE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51B30"/>
    <w:multiLevelType w:val="hybridMultilevel"/>
    <w:tmpl w:val="689EE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31A5"/>
    <w:multiLevelType w:val="hybridMultilevel"/>
    <w:tmpl w:val="A54A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A0BCD"/>
    <w:multiLevelType w:val="hybridMultilevel"/>
    <w:tmpl w:val="CE0A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BC3289"/>
    <w:multiLevelType w:val="hybridMultilevel"/>
    <w:tmpl w:val="0504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10EAD"/>
    <w:multiLevelType w:val="hybridMultilevel"/>
    <w:tmpl w:val="EAB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52520"/>
    <w:multiLevelType w:val="hybridMultilevel"/>
    <w:tmpl w:val="51F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61CCC"/>
    <w:multiLevelType w:val="hybridMultilevel"/>
    <w:tmpl w:val="BA1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C1D6A"/>
    <w:multiLevelType w:val="hybridMultilevel"/>
    <w:tmpl w:val="893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83C38"/>
    <w:multiLevelType w:val="hybridMultilevel"/>
    <w:tmpl w:val="90B8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00ACD"/>
    <w:multiLevelType w:val="hybridMultilevel"/>
    <w:tmpl w:val="453C791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D8279D"/>
    <w:multiLevelType w:val="hybridMultilevel"/>
    <w:tmpl w:val="1EE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1817FA"/>
    <w:multiLevelType w:val="hybridMultilevel"/>
    <w:tmpl w:val="4F86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0D1E"/>
    <w:multiLevelType w:val="hybridMultilevel"/>
    <w:tmpl w:val="E1E82A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8E1909"/>
    <w:multiLevelType w:val="hybridMultilevel"/>
    <w:tmpl w:val="5EB80E7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D682F9D"/>
    <w:multiLevelType w:val="hybridMultilevel"/>
    <w:tmpl w:val="5BA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E7CE7"/>
    <w:multiLevelType w:val="hybridMultilevel"/>
    <w:tmpl w:val="DC704C3C"/>
    <w:lvl w:ilvl="0" w:tplc="BC14EB4A">
      <w:start w:val="1"/>
      <w:numFmt w:val="bullet"/>
      <w:pStyle w:val="Questio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D21E0"/>
    <w:multiLevelType w:val="hybridMultilevel"/>
    <w:tmpl w:val="BD9A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6336A2"/>
    <w:multiLevelType w:val="hybridMultilevel"/>
    <w:tmpl w:val="9F96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1"/>
  </w:num>
  <w:num w:numId="5">
    <w:abstractNumId w:val="8"/>
  </w:num>
  <w:num w:numId="6">
    <w:abstractNumId w:val="22"/>
  </w:num>
  <w:num w:numId="7">
    <w:abstractNumId w:val="19"/>
  </w:num>
  <w:num w:numId="8">
    <w:abstractNumId w:val="5"/>
  </w:num>
  <w:num w:numId="9">
    <w:abstractNumId w:val="20"/>
  </w:num>
  <w:num w:numId="10">
    <w:abstractNumId w:val="13"/>
  </w:num>
  <w:num w:numId="11">
    <w:abstractNumId w:val="2"/>
  </w:num>
  <w:num w:numId="12">
    <w:abstractNumId w:val="12"/>
  </w:num>
  <w:num w:numId="13">
    <w:abstractNumId w:val="11"/>
  </w:num>
  <w:num w:numId="14">
    <w:abstractNumId w:val="23"/>
  </w:num>
  <w:num w:numId="15">
    <w:abstractNumId w:val="21"/>
  </w:num>
  <w:num w:numId="16">
    <w:abstractNumId w:val="18"/>
  </w:num>
  <w:num w:numId="17">
    <w:abstractNumId w:val="9"/>
  </w:num>
  <w:num w:numId="18">
    <w:abstractNumId w:val="25"/>
  </w:num>
  <w:num w:numId="19">
    <w:abstractNumId w:val="6"/>
  </w:num>
  <w:num w:numId="20">
    <w:abstractNumId w:val="3"/>
  </w:num>
  <w:num w:numId="21">
    <w:abstractNumId w:val="10"/>
  </w:num>
  <w:num w:numId="22">
    <w:abstractNumId w:val="4"/>
  </w:num>
  <w:num w:numId="23">
    <w:abstractNumId w:val="17"/>
  </w:num>
  <w:num w:numId="24">
    <w:abstractNumId w:val="7"/>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4B"/>
    <w:rsid w:val="004463A9"/>
    <w:rsid w:val="004D5B0F"/>
    <w:rsid w:val="007C56A7"/>
    <w:rsid w:val="0086583D"/>
    <w:rsid w:val="0094744B"/>
    <w:rsid w:val="00A46601"/>
    <w:rsid w:val="00A67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907C"/>
  <w15:chartTrackingRefBased/>
  <w15:docId w15:val="{4378242C-11C7-4F81-9D6F-05555409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qFormat/>
    <w:rsid w:val="0094744B"/>
    <w:pPr>
      <w:numPr>
        <w:numId w:val="6"/>
      </w:numPr>
      <w:spacing w:after="240" w:line="240" w:lineRule="auto"/>
    </w:pPr>
    <w:rPr>
      <w:rFonts w:ascii="Arial" w:eastAsia="Times New Roman" w:hAnsi="Arial" w:cs="Times New Roman"/>
      <w:i/>
      <w:sz w:val="23"/>
      <w:szCs w:val="20"/>
      <w:lang w:val="en-US"/>
    </w:rPr>
  </w:style>
  <w:style w:type="paragraph" w:styleId="ListParagraph">
    <w:name w:val="List Paragraph"/>
    <w:basedOn w:val="Normal"/>
    <w:uiPriority w:val="34"/>
    <w:qFormat/>
    <w:rsid w:val="0094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consultation@pensions-intitute.org"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Russell</dc:creator>
  <cp:keywords/>
  <dc:description/>
  <cp:lastModifiedBy>David Reeves</cp:lastModifiedBy>
  <cp:revision>2</cp:revision>
  <dcterms:created xsi:type="dcterms:W3CDTF">2018-11-29T16:52:00Z</dcterms:created>
  <dcterms:modified xsi:type="dcterms:W3CDTF">2018-11-29T16:52:00Z</dcterms:modified>
</cp:coreProperties>
</file>